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bookmarkStart w:id="1" w:name="_GoBack"/>
      <w:bookmarkEnd w:id="1"/>
      <w:r>
        <w:rPr>
          <w:rFonts w:hint="eastAsia" w:ascii="黑体" w:hAnsi="黑体" w:eastAsia="黑体" w:cs="楷体_GB2312"/>
          <w:sz w:val="32"/>
          <w:szCs w:val="32"/>
        </w:rPr>
        <w:t>附件1</w:t>
      </w:r>
    </w:p>
    <w:p>
      <w:pPr>
        <w:widowControl/>
        <w:shd w:val="clear" w:color="auto" w:fill="FFFFFF"/>
        <w:spacing w:line="560" w:lineRule="exact"/>
        <w:jc w:val="center"/>
        <w:rPr>
          <w:rFonts w:ascii="黑体" w:hAnsi="黑体" w:eastAsia="黑体" w:cs="宋体"/>
          <w:color w:val="494949"/>
          <w:kern w:val="0"/>
          <w:sz w:val="32"/>
          <w:szCs w:val="32"/>
        </w:rPr>
      </w:pPr>
      <w:r>
        <w:rPr>
          <w:rFonts w:hint="eastAsia" w:ascii="黑体" w:hAnsi="黑体" w:eastAsia="黑体" w:cs="宋体"/>
          <w:color w:val="494949"/>
          <w:kern w:val="0"/>
          <w:sz w:val="32"/>
          <w:szCs w:val="32"/>
        </w:rPr>
        <w:t>预拌混凝土生产单位检查参考用表</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1"/>
        <w:gridCol w:w="479"/>
        <w:gridCol w:w="4431"/>
        <w:gridCol w:w="721"/>
        <w:gridCol w:w="1012"/>
        <w:gridCol w:w="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699" w:type="pct"/>
            <w:vMerge w:val="restart"/>
            <w:vAlign w:val="center"/>
          </w:tcPr>
          <w:p>
            <w:pPr>
              <w:jc w:val="center"/>
              <w:rPr>
                <w:rFonts w:ascii="黑体" w:hAnsi="黑体" w:eastAsia="黑体" w:cs="黑体"/>
                <w:sz w:val="24"/>
              </w:rPr>
            </w:pPr>
            <w:r>
              <w:rPr>
                <w:rFonts w:hint="eastAsia" w:ascii="黑体" w:hAnsi="黑体" w:eastAsia="黑体" w:cs="黑体"/>
                <w:sz w:val="24"/>
              </w:rPr>
              <w:t>检查项目</w:t>
            </w:r>
          </w:p>
        </w:tc>
        <w:tc>
          <w:tcPr>
            <w:tcW w:w="2881" w:type="pct"/>
            <w:gridSpan w:val="2"/>
            <w:vMerge w:val="restart"/>
            <w:vAlign w:val="center"/>
          </w:tcPr>
          <w:p>
            <w:pPr>
              <w:jc w:val="center"/>
              <w:rPr>
                <w:rFonts w:ascii="黑体" w:hAnsi="黑体" w:eastAsia="黑体" w:cs="黑体"/>
                <w:sz w:val="24"/>
              </w:rPr>
            </w:pPr>
            <w:r>
              <w:rPr>
                <w:rFonts w:hint="eastAsia" w:ascii="黑体" w:hAnsi="黑体" w:eastAsia="黑体" w:cs="黑体"/>
                <w:sz w:val="24"/>
              </w:rPr>
              <w:t>检查内容</w:t>
            </w:r>
          </w:p>
        </w:tc>
        <w:tc>
          <w:tcPr>
            <w:tcW w:w="1017" w:type="pct"/>
            <w:gridSpan w:val="2"/>
            <w:vAlign w:val="center"/>
          </w:tcPr>
          <w:p>
            <w:pPr>
              <w:jc w:val="center"/>
              <w:rPr>
                <w:rFonts w:ascii="黑体" w:hAnsi="黑体" w:eastAsia="黑体" w:cs="黑体"/>
                <w:sz w:val="24"/>
              </w:rPr>
            </w:pPr>
            <w:r>
              <w:rPr>
                <w:rFonts w:hint="eastAsia" w:ascii="黑体" w:hAnsi="黑体" w:eastAsia="黑体" w:cs="黑体"/>
                <w:sz w:val="24"/>
              </w:rPr>
              <w:t>检查结果</w:t>
            </w:r>
          </w:p>
        </w:tc>
        <w:tc>
          <w:tcPr>
            <w:tcW w:w="403" w:type="pct"/>
            <w:vMerge w:val="restart"/>
            <w:vAlign w:val="center"/>
          </w:tcPr>
          <w:p>
            <w:pPr>
              <w:jc w:val="center"/>
              <w:rPr>
                <w:rFonts w:ascii="黑体" w:hAnsi="黑体" w:eastAsia="黑体" w:cs="黑体"/>
                <w:sz w:val="24"/>
              </w:rPr>
            </w:pPr>
            <w:r>
              <w:rPr>
                <w:rFonts w:hint="eastAsia" w:ascii="黑体" w:hAnsi="黑体" w:eastAsia="黑体" w:cs="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699" w:type="pct"/>
            <w:vMerge w:val="continue"/>
            <w:tcBorders>
              <w:bottom w:val="single" w:color="auto" w:sz="4" w:space="0"/>
            </w:tcBorders>
            <w:vAlign w:val="center"/>
          </w:tcPr>
          <w:p>
            <w:pPr>
              <w:jc w:val="center"/>
              <w:rPr>
                <w:rFonts w:ascii="宋体"/>
                <w:szCs w:val="21"/>
              </w:rPr>
            </w:pPr>
          </w:p>
        </w:tc>
        <w:tc>
          <w:tcPr>
            <w:tcW w:w="2881" w:type="pct"/>
            <w:gridSpan w:val="2"/>
            <w:vMerge w:val="continue"/>
            <w:vAlign w:val="center"/>
          </w:tcPr>
          <w:p>
            <w:pPr>
              <w:jc w:val="center"/>
              <w:rPr>
                <w:rFonts w:ascii="宋体"/>
                <w:szCs w:val="21"/>
              </w:rPr>
            </w:pPr>
          </w:p>
        </w:tc>
        <w:tc>
          <w:tcPr>
            <w:tcW w:w="423" w:type="pct"/>
            <w:vAlign w:val="center"/>
          </w:tcPr>
          <w:p>
            <w:pPr>
              <w:jc w:val="center"/>
              <w:rPr>
                <w:rFonts w:ascii="黑体" w:hAnsi="黑体" w:eastAsia="黑体" w:cs="黑体"/>
                <w:szCs w:val="21"/>
              </w:rPr>
            </w:pPr>
            <w:r>
              <w:rPr>
                <w:rFonts w:hint="eastAsia" w:ascii="黑体" w:hAnsi="黑体" w:eastAsia="黑体" w:cs="黑体"/>
                <w:szCs w:val="21"/>
              </w:rPr>
              <w:t>符合</w:t>
            </w:r>
          </w:p>
        </w:tc>
        <w:tc>
          <w:tcPr>
            <w:tcW w:w="594" w:type="pct"/>
            <w:vAlign w:val="center"/>
          </w:tcPr>
          <w:p>
            <w:pPr>
              <w:jc w:val="center"/>
              <w:rPr>
                <w:rFonts w:ascii="黑体" w:hAnsi="黑体" w:eastAsia="黑体" w:cs="黑体"/>
                <w:szCs w:val="21"/>
              </w:rPr>
            </w:pPr>
            <w:r>
              <w:rPr>
                <w:rFonts w:hint="eastAsia" w:ascii="黑体" w:hAnsi="黑体" w:eastAsia="黑体" w:cs="黑体"/>
                <w:szCs w:val="21"/>
              </w:rPr>
              <w:t>不符合</w:t>
            </w:r>
          </w:p>
        </w:tc>
        <w:tc>
          <w:tcPr>
            <w:tcW w:w="403" w:type="pct"/>
            <w:vMerge w:val="continue"/>
            <w:vAlign w:val="center"/>
          </w:tcPr>
          <w:p>
            <w:pPr>
              <w:jc w:val="left"/>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restart"/>
            <w:tcBorders>
              <w:top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(一)</w:t>
            </w:r>
          </w:p>
          <w:p>
            <w:pPr>
              <w:jc w:val="center"/>
              <w:rPr>
                <w:rFonts w:ascii="仿宋_GB2312" w:hAnsi="仿宋_GB2312" w:eastAsia="仿宋_GB2312" w:cs="仿宋_GB2312"/>
                <w:sz w:val="24"/>
              </w:rPr>
            </w:pPr>
            <w:r>
              <w:rPr>
                <w:rFonts w:hint="eastAsia" w:ascii="仿宋_GB2312" w:hAnsi="仿宋_GB2312" w:eastAsia="仿宋_GB2312" w:cs="仿宋_GB2312"/>
                <w:sz w:val="24"/>
              </w:rPr>
              <w:t>资质管理</w:t>
            </w: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预拌混凝土生产企业具有资质</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tcBorders>
              <w:bottom w:val="single" w:color="auto" w:sz="4" w:space="0"/>
            </w:tcBorders>
            <w:vAlign w:val="center"/>
          </w:tcPr>
          <w:p>
            <w:pPr>
              <w:jc w:val="left"/>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预拌混凝土生产企业、分站点的设立是否满足资质管理规定要求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restart"/>
            <w:tcBorders>
              <w:top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（二）</w:t>
            </w:r>
          </w:p>
          <w:p>
            <w:pPr>
              <w:jc w:val="center"/>
              <w:rPr>
                <w:rFonts w:ascii="仿宋_GB2312" w:hAnsi="仿宋_GB2312" w:eastAsia="仿宋_GB2312" w:cs="仿宋_GB2312"/>
                <w:sz w:val="24"/>
              </w:rPr>
            </w:pPr>
            <w:r>
              <w:rPr>
                <w:rFonts w:hint="eastAsia" w:ascii="仿宋_GB2312" w:hAnsi="仿宋_GB2312" w:eastAsia="仿宋_GB2312" w:cs="仿宋_GB2312"/>
                <w:sz w:val="24"/>
              </w:rPr>
              <w:t>制度建设</w:t>
            </w: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600" w:type="pct"/>
            <w:vAlign w:val="center"/>
          </w:tcPr>
          <w:p>
            <w:pPr>
              <w:rPr>
                <w:rFonts w:ascii="仿宋_GB2312" w:hAnsi="仿宋_GB2312" w:eastAsia="仿宋_GB2312" w:cs="仿宋_GB2312"/>
                <w:sz w:val="24"/>
              </w:rPr>
            </w:pPr>
            <w:r>
              <w:rPr>
                <w:rFonts w:ascii="仿宋_GB2312" w:hAnsi="仿宋_GB2312" w:eastAsia="仿宋_GB2312" w:cs="仿宋_GB2312"/>
                <w:sz w:val="24"/>
              </w:rPr>
              <w:t>建立完善的质量管理体系，制定相关的质量控制制度。</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left"/>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建立质量隐患防控预案机制，制定相应风险处理措施</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left"/>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建立技术文件管理制度，技术标准有效健全</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(三)</w:t>
            </w:r>
          </w:p>
          <w:p>
            <w:pPr>
              <w:jc w:val="center"/>
              <w:rPr>
                <w:rFonts w:ascii="仿宋_GB2312" w:hAnsi="仿宋_GB2312" w:eastAsia="仿宋_GB2312" w:cs="仿宋_GB2312"/>
                <w:sz w:val="24"/>
              </w:rPr>
            </w:pPr>
            <w:r>
              <w:rPr>
                <w:rFonts w:hint="eastAsia" w:ascii="仿宋_GB2312" w:hAnsi="仿宋_GB2312" w:eastAsia="仿宋_GB2312" w:cs="仿宋_GB2312"/>
                <w:sz w:val="24"/>
              </w:rPr>
              <w:t>原材料</w:t>
            </w:r>
          </w:p>
          <w:p>
            <w:pPr>
              <w:jc w:val="center"/>
              <w:rPr>
                <w:rFonts w:ascii="仿宋_GB2312" w:hAnsi="仿宋_GB2312" w:eastAsia="仿宋_GB2312" w:cs="仿宋_GB2312"/>
                <w:sz w:val="24"/>
              </w:rPr>
            </w:pPr>
            <w:r>
              <w:rPr>
                <w:rFonts w:hint="eastAsia" w:ascii="仿宋_GB2312" w:hAnsi="仿宋_GB2312" w:eastAsia="仿宋_GB2312" w:cs="仿宋_GB2312"/>
                <w:sz w:val="24"/>
              </w:rPr>
              <w:t>管理</w:t>
            </w: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建立混凝土原材料的采购、使用管理制度</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 xml:space="preserve">采购合同（协议）以书面形式签订并存档 </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2600" w:type="pct"/>
            <w:vAlign w:val="center"/>
          </w:tcPr>
          <w:p>
            <w:pPr>
              <w:rPr>
                <w:rFonts w:ascii="仿宋_GB2312" w:hAnsi="仿宋_GB2312" w:eastAsia="仿宋_GB2312" w:cs="仿宋_GB2312"/>
                <w:sz w:val="24"/>
              </w:rPr>
            </w:pPr>
            <w:r>
              <w:rPr>
                <w:rFonts w:ascii="仿宋_GB2312" w:hAnsi="仿宋_GB2312" w:eastAsia="仿宋_GB2312" w:cs="仿宋_GB2312"/>
                <w:sz w:val="24"/>
              </w:rPr>
              <w:t>对原材料供应商提供的质量证明文件进行 核验和确认，并将质量证明文件的原件或复印件存档。</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建立混凝土原材料使用台帐，有进场验收记录，质量可追溯。</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对进场原材料依据相关技术标准要求进行质量检验，并建立逐一对应的检测试验台账（不得使用未经处理或者经处理不合格的海砂）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（四）</w:t>
            </w:r>
          </w:p>
          <w:p>
            <w:pPr>
              <w:jc w:val="center"/>
              <w:rPr>
                <w:rFonts w:ascii="仿宋_GB2312" w:hAnsi="仿宋_GB2312" w:eastAsia="仿宋_GB2312" w:cs="仿宋_GB2312"/>
                <w:sz w:val="24"/>
              </w:rPr>
            </w:pPr>
            <w:r>
              <w:rPr>
                <w:rFonts w:hint="eastAsia" w:ascii="仿宋_GB2312" w:hAnsi="仿宋_GB2312" w:eastAsia="仿宋_GB2312" w:cs="仿宋_GB2312"/>
                <w:sz w:val="24"/>
              </w:rPr>
              <w:t>试验管理</w:t>
            </w: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1</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试验室的环境、面积和仪器设备配备应当与生产能力相匹配</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2</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仪器设备应定期进行校准或检定</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3</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试验工作场所的温湿度等环境条件满足标准要求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4</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严格按相应的标准和方法开展各项试验</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5</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原始记录、试验报告、试件等有唯一性标识</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6</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定期对混凝土强度进行数理统计分析</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ascii="仿宋_GB2312" w:hAnsi="仿宋_GB2312" w:eastAsia="仿宋_GB2312" w:cs="仿宋_GB2312"/>
                <w:sz w:val="24"/>
              </w:rPr>
              <w:t>17</w:t>
            </w:r>
          </w:p>
        </w:tc>
        <w:tc>
          <w:tcPr>
            <w:tcW w:w="2600" w:type="pct"/>
            <w:vAlign w:val="center"/>
          </w:tcPr>
          <w:p>
            <w:pPr>
              <w:rPr>
                <w:rFonts w:ascii="仿宋_GB2312" w:hAnsi="仿宋_GB2312" w:eastAsia="仿宋_GB2312" w:cs="仿宋_GB2312"/>
                <w:sz w:val="24"/>
              </w:rPr>
            </w:pPr>
            <w:bookmarkStart w:id="0" w:name="_Hlk54772671"/>
            <w:r>
              <w:rPr>
                <w:rFonts w:hint="eastAsia" w:ascii="仿宋_GB2312" w:hAnsi="仿宋_GB2312" w:eastAsia="仿宋_GB2312" w:cs="仿宋_GB2312"/>
                <w:sz w:val="24"/>
              </w:rPr>
              <w:t>定期对试验人员进行培训</w:t>
            </w:r>
            <w:bookmarkEnd w:id="0"/>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（五）</w:t>
            </w:r>
          </w:p>
          <w:p>
            <w:pPr>
              <w:jc w:val="center"/>
              <w:rPr>
                <w:rFonts w:ascii="仿宋_GB2312" w:hAnsi="仿宋_GB2312" w:eastAsia="仿宋_GB2312" w:cs="仿宋_GB2312"/>
                <w:sz w:val="24"/>
              </w:rPr>
            </w:pPr>
            <w:r>
              <w:rPr>
                <w:rFonts w:hint="eastAsia" w:ascii="仿宋_GB2312" w:hAnsi="仿宋_GB2312" w:eastAsia="仿宋_GB2312" w:cs="仿宋_GB2312"/>
                <w:sz w:val="24"/>
              </w:rPr>
              <w:t>配合比设计</w:t>
            </w: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8</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混凝土配合比设计配制强度及性能满足相关标准要求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ascii="仿宋_GB2312" w:hAnsi="仿宋_GB2312" w:eastAsia="仿宋_GB2312" w:cs="仿宋_GB2312"/>
                <w:sz w:val="24"/>
              </w:rPr>
              <w:t>19</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最小水泥和胶凝材料用量应符合相关标准要求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ascii="仿宋_GB2312" w:hAnsi="仿宋_GB2312" w:eastAsia="仿宋_GB2312" w:cs="仿宋_GB2312"/>
                <w:sz w:val="24"/>
              </w:rPr>
              <w:t>20</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矿物掺合料的掺量应符合相关标准要求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1</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配合比设计及调整应</w:t>
            </w:r>
            <w:r>
              <w:rPr>
                <w:rFonts w:ascii="仿宋_GB2312" w:hAnsi="仿宋_GB2312" w:eastAsia="仿宋_GB2312" w:cs="仿宋_GB2312"/>
                <w:sz w:val="24"/>
              </w:rPr>
              <w:t>经过试验验证，并</w:t>
            </w:r>
            <w:r>
              <w:rPr>
                <w:rFonts w:hint="eastAsia" w:ascii="仿宋_GB2312" w:hAnsi="仿宋_GB2312" w:eastAsia="仿宋_GB2312" w:cs="仿宋_GB2312"/>
                <w:sz w:val="24"/>
              </w:rPr>
              <w:t>经技术负责人书面批准</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（六）</w:t>
            </w:r>
          </w:p>
          <w:p>
            <w:pPr>
              <w:jc w:val="center"/>
              <w:rPr>
                <w:rFonts w:ascii="仿宋_GB2312" w:hAnsi="仿宋_GB2312" w:eastAsia="仿宋_GB2312" w:cs="仿宋_GB2312"/>
                <w:sz w:val="24"/>
              </w:rPr>
            </w:pPr>
            <w:r>
              <w:rPr>
                <w:rFonts w:hint="eastAsia" w:ascii="仿宋_GB2312" w:hAnsi="仿宋_GB2312" w:eastAsia="仿宋_GB2312" w:cs="仿宋_GB2312"/>
                <w:sz w:val="24"/>
              </w:rPr>
              <w:t>生产管理</w:t>
            </w: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2</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建立生产设备管理制度和设备档案。</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定期对生产设备进行检查保养，填写主要设备使用和维修保养记录。</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4</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混凝土搅拌系统应符合相关标准要求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5</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定期对搅拌系统计量设备进行校准</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6</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生产、试验用计量设备、试模应进行自校，自校频次应符合相关标准要求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7</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生产时对环境、原材料和混凝土出机温度进行测量。</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ascii="仿宋_GB2312" w:hAnsi="仿宋_GB2312" w:eastAsia="仿宋_GB2312" w:cs="仿宋_GB2312"/>
                <w:sz w:val="24"/>
              </w:rPr>
              <w:t>28</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 xml:space="preserve">实际生产的混凝土配合比与向使用单位出具的混凝土配合比一致 </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ascii="仿宋_GB2312" w:hAnsi="仿宋_GB2312" w:eastAsia="仿宋_GB2312" w:cs="仿宋_GB2312"/>
                <w:sz w:val="24"/>
              </w:rPr>
              <w:t>29</w:t>
            </w:r>
          </w:p>
        </w:tc>
        <w:tc>
          <w:tcPr>
            <w:tcW w:w="2600" w:type="pct"/>
            <w:vAlign w:val="center"/>
          </w:tcPr>
          <w:p>
            <w:pPr>
              <w:rPr>
                <w:rFonts w:ascii="仿宋_GB2312" w:hAnsi="仿宋_GB2312" w:eastAsia="仿宋_GB2312" w:cs="仿宋_GB2312"/>
                <w:sz w:val="24"/>
              </w:rPr>
            </w:pPr>
            <w:r>
              <w:rPr>
                <w:rFonts w:ascii="仿宋_GB2312" w:hAnsi="仿宋_GB2312" w:eastAsia="仿宋_GB2312" w:cs="仿宋_GB2312"/>
                <w:sz w:val="24"/>
              </w:rPr>
              <w:t>拌台生产全过程的视频资料应记录拌台生产的各项操作过程以及各原材料设定、调整和下料、扣称等使用情况，视频资料的保存期应不少于3个月</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0</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生产中原材料计量允许偏差符合相关标准要求，并应每台班检查1次</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（七）</w:t>
            </w:r>
          </w:p>
          <w:p>
            <w:pPr>
              <w:jc w:val="center"/>
              <w:rPr>
                <w:rFonts w:ascii="仿宋_GB2312" w:hAnsi="仿宋_GB2312" w:eastAsia="仿宋_GB2312" w:cs="仿宋_GB2312"/>
                <w:sz w:val="24"/>
              </w:rPr>
            </w:pPr>
            <w:r>
              <w:rPr>
                <w:rFonts w:hint="eastAsia" w:ascii="仿宋_GB2312" w:hAnsi="仿宋_GB2312" w:eastAsia="仿宋_GB2312" w:cs="仿宋_GB2312"/>
                <w:sz w:val="24"/>
              </w:rPr>
              <w:t>出厂检验</w:t>
            </w: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1</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出厂检验的取样频率应符合规范规定要求</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2</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混凝土出厂检验包含坍落度、强度等标准要求及合同约定项目</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3</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使用海砂的混凝土，应进行混凝土的氯离子含量检测，并出具氯离子检测合格证明</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4</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留置混凝土试件,并对其进行养护和检验检测；建立留置试件和试验台帐</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5</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出厂检验试块、试件等应按年度连续编号，并建立台账</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6</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混凝土强度试件取样、制作、拆模等过程视频资料不少于一个月</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7</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运送混凝土时应随车签发预拌混凝土运输单</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8</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及时出具预拌混凝土开盘鉴定资料和预拌混凝土合格证</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pPr>
              <w:jc w:val="center"/>
              <w:rPr>
                <w:rFonts w:ascii="仿宋_GB2312" w:hAnsi="仿宋_GB2312" w:eastAsia="仿宋_GB2312" w:cs="仿宋_GB2312"/>
                <w:sz w:val="24"/>
              </w:rPr>
            </w:pPr>
          </w:p>
        </w:tc>
        <w:tc>
          <w:tcPr>
            <w:tcW w:w="281"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9</w:t>
            </w:r>
          </w:p>
        </w:tc>
        <w:tc>
          <w:tcPr>
            <w:tcW w:w="2600" w:type="pct"/>
            <w:vAlign w:val="center"/>
          </w:tcPr>
          <w:p>
            <w:pPr>
              <w:rPr>
                <w:rFonts w:ascii="仿宋_GB2312" w:hAnsi="仿宋_GB2312" w:eastAsia="仿宋_GB2312" w:cs="仿宋_GB2312"/>
                <w:sz w:val="24"/>
              </w:rPr>
            </w:pPr>
            <w:r>
              <w:rPr>
                <w:rFonts w:hint="eastAsia" w:ascii="仿宋_GB2312" w:hAnsi="仿宋_GB2312" w:eastAsia="仿宋_GB2312" w:cs="仿宋_GB2312"/>
                <w:sz w:val="24"/>
              </w:rPr>
              <w:t>大批量、连续生产的同一配合比混凝土，应提供基本性能试验报告</w:t>
            </w:r>
          </w:p>
        </w:tc>
        <w:tc>
          <w:tcPr>
            <w:tcW w:w="423" w:type="pct"/>
            <w:vAlign w:val="center"/>
          </w:tcPr>
          <w:p>
            <w:pPr>
              <w:jc w:val="left"/>
              <w:rPr>
                <w:rFonts w:ascii="仿宋_GB2312" w:hAnsi="仿宋_GB2312" w:eastAsia="仿宋_GB2312" w:cs="仿宋_GB2312"/>
                <w:sz w:val="24"/>
              </w:rPr>
            </w:pPr>
          </w:p>
        </w:tc>
        <w:tc>
          <w:tcPr>
            <w:tcW w:w="594" w:type="pct"/>
            <w:vAlign w:val="center"/>
          </w:tcPr>
          <w:p>
            <w:pPr>
              <w:jc w:val="left"/>
              <w:rPr>
                <w:rFonts w:ascii="仿宋_GB2312" w:hAnsi="仿宋_GB2312" w:eastAsia="仿宋_GB2312" w:cs="仿宋_GB2312"/>
                <w:sz w:val="24"/>
              </w:rPr>
            </w:pPr>
          </w:p>
        </w:tc>
        <w:tc>
          <w:tcPr>
            <w:tcW w:w="403" w:type="pct"/>
            <w:vAlign w:val="center"/>
          </w:tcPr>
          <w:p>
            <w:pPr>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9"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结果统计</w:t>
            </w:r>
          </w:p>
        </w:tc>
        <w:tc>
          <w:tcPr>
            <w:tcW w:w="4301" w:type="pct"/>
            <w:gridSpan w:val="5"/>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                 不符合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w:t>
            </w:r>
          </w:p>
        </w:tc>
      </w:tr>
    </w:tbl>
    <w:p>
      <w:pPr>
        <w:rPr>
          <w:rFonts w:ascii="方正小标宋简体" w:eastAsia="方正小标宋简体"/>
          <w:sz w:val="40"/>
          <w:szCs w:val="40"/>
        </w:rPr>
      </w:pPr>
      <w:r>
        <w:rPr>
          <w:rFonts w:hint="eastAsia" w:ascii="仿宋_GB2312" w:hAnsi="仿宋_GB2312" w:eastAsia="仿宋_GB2312" w:cs="仿宋_GB2312"/>
          <w:sz w:val="24"/>
        </w:rPr>
        <w:t>抽查组成员签字：                      抽查日期：</w:t>
      </w:r>
    </w:p>
    <w:p>
      <w:pPr>
        <w:spacing w:line="560" w:lineRule="exact"/>
        <w:rPr>
          <w:rFonts w:ascii="仿宋_GB2312" w:eastAsia="仿宋_GB2312" w:cs="楷体_GB2312"/>
          <w:sz w:val="30"/>
          <w:szCs w:val="30"/>
        </w:rPr>
      </w:pPr>
    </w:p>
    <w:p>
      <w:pPr>
        <w:spacing w:line="400" w:lineRule="exact"/>
        <w:ind w:left="1680" w:hanging="1680" w:hangingChars="600"/>
        <w:rPr>
          <w:rFonts w:ascii="仿宋_GB2312" w:eastAsia="仿宋_GB2312"/>
          <w:spacing w:val="-20"/>
          <w:kern w:val="32"/>
          <w:sz w:val="32"/>
          <w:szCs w:val="32"/>
        </w:rPr>
      </w:pPr>
    </w:p>
    <w:p>
      <w:pPr>
        <w:widowControl/>
        <w:shd w:val="clear" w:color="auto" w:fill="FFFFFF"/>
        <w:spacing w:line="600" w:lineRule="exact"/>
        <w:jc w:val="left"/>
        <w:rPr>
          <w:rFonts w:ascii="黑体" w:hAnsi="黑体" w:eastAsia="黑体" w:cs="宋体"/>
          <w:color w:val="494949"/>
          <w:kern w:val="0"/>
          <w:sz w:val="32"/>
          <w:szCs w:val="32"/>
        </w:rPr>
      </w:pPr>
      <w:r>
        <w:rPr>
          <w:rFonts w:hint="eastAsia" w:ascii="黑体" w:hAnsi="黑体" w:eastAsia="黑体" w:cs="宋体"/>
          <w:color w:val="494949"/>
          <w:kern w:val="0"/>
          <w:sz w:val="32"/>
          <w:szCs w:val="32"/>
        </w:rPr>
        <w:t>附件2</w:t>
      </w:r>
    </w:p>
    <w:p>
      <w:pPr>
        <w:widowControl/>
        <w:shd w:val="clear" w:color="auto" w:fill="FFFFFF"/>
        <w:spacing w:line="600" w:lineRule="exact"/>
        <w:jc w:val="center"/>
        <w:rPr>
          <w:rFonts w:ascii="黑体" w:hAnsi="黑体" w:eastAsia="黑体" w:cs="宋体"/>
          <w:color w:val="494949"/>
          <w:kern w:val="0"/>
          <w:sz w:val="36"/>
          <w:szCs w:val="36"/>
        </w:rPr>
      </w:pPr>
      <w:r>
        <w:rPr>
          <w:rFonts w:hint="eastAsia" w:ascii="黑体" w:hAnsi="黑体" w:eastAsia="黑体" w:cs="宋体"/>
          <w:color w:val="494949"/>
          <w:kern w:val="0"/>
          <w:sz w:val="36"/>
          <w:szCs w:val="36"/>
        </w:rPr>
        <w:t>总承包单位检查参考用表</w:t>
      </w:r>
    </w:p>
    <w:tbl>
      <w:tblPr>
        <w:tblStyle w:val="4"/>
        <w:tblW w:w="5000" w:type="pct"/>
        <w:jc w:val="center"/>
        <w:tblLayout w:type="autofit"/>
        <w:tblCellMar>
          <w:top w:w="0" w:type="dxa"/>
          <w:left w:w="108" w:type="dxa"/>
          <w:bottom w:w="0" w:type="dxa"/>
          <w:right w:w="108" w:type="dxa"/>
        </w:tblCellMar>
      </w:tblPr>
      <w:tblGrid>
        <w:gridCol w:w="793"/>
        <w:gridCol w:w="4890"/>
        <w:gridCol w:w="937"/>
        <w:gridCol w:w="937"/>
        <w:gridCol w:w="965"/>
      </w:tblGrid>
      <w:tr>
        <w:tblPrEx>
          <w:tblCellMar>
            <w:top w:w="0" w:type="dxa"/>
            <w:left w:w="108" w:type="dxa"/>
            <w:bottom w:w="0" w:type="dxa"/>
            <w:right w:w="108" w:type="dxa"/>
          </w:tblCellMar>
        </w:tblPrEx>
        <w:trPr>
          <w:trHeight w:val="680" w:hRule="atLeast"/>
          <w:tblHeader/>
          <w:jc w:val="center"/>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24"/>
              </w:rPr>
            </w:pPr>
            <w:r>
              <w:rPr>
                <w:rFonts w:hint="eastAsia" w:ascii="黑体" w:hAnsi="黑体" w:eastAsia="黑体" w:cs="黑体"/>
                <w:color w:val="000000"/>
                <w:sz w:val="24"/>
              </w:rPr>
              <w:t>序号</w:t>
            </w:r>
          </w:p>
        </w:tc>
        <w:tc>
          <w:tcPr>
            <w:tcW w:w="2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24"/>
              </w:rPr>
            </w:pPr>
            <w:r>
              <w:rPr>
                <w:rFonts w:hint="eastAsia" w:ascii="黑体" w:hAnsi="黑体" w:eastAsia="黑体" w:cs="黑体"/>
                <w:color w:val="000000"/>
                <w:sz w:val="24"/>
              </w:rPr>
              <w:t>检查内容</w:t>
            </w:r>
          </w:p>
        </w:tc>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 w:val="24"/>
              </w:rPr>
            </w:pPr>
            <w:r>
              <w:rPr>
                <w:rFonts w:hint="eastAsia" w:ascii="黑体" w:hAnsi="黑体" w:eastAsia="黑体" w:cs="黑体"/>
                <w:color w:val="000000"/>
                <w:sz w:val="24"/>
              </w:rPr>
              <w:t>检查结果</w:t>
            </w:r>
          </w:p>
        </w:tc>
        <w:tc>
          <w:tcPr>
            <w:tcW w:w="566" w:type="pct"/>
            <w:vMerge w:val="restart"/>
            <w:tcBorders>
              <w:top w:val="single" w:color="000000" w:sz="4" w:space="0"/>
              <w:left w:val="single" w:color="000000" w:sz="4" w:space="0"/>
              <w:right w:val="single" w:color="000000" w:sz="4" w:space="0"/>
            </w:tcBorders>
            <w:shd w:val="clear" w:color="auto" w:fill="auto"/>
            <w:vAlign w:val="center"/>
          </w:tcPr>
          <w:p>
            <w:pPr>
              <w:jc w:val="center"/>
              <w:rPr>
                <w:rFonts w:ascii="黑体" w:hAnsi="黑体" w:eastAsia="黑体" w:cs="黑体"/>
                <w:color w:val="000000"/>
                <w:sz w:val="24"/>
              </w:rPr>
            </w:pPr>
            <w:r>
              <w:rPr>
                <w:rFonts w:hint="eastAsia" w:ascii="黑体" w:hAnsi="黑体" w:eastAsia="黑体" w:cs="黑体"/>
                <w:color w:val="000000"/>
                <w:sz w:val="24"/>
              </w:rPr>
              <w:t>备注</w:t>
            </w:r>
          </w:p>
        </w:tc>
      </w:tr>
      <w:tr>
        <w:tblPrEx>
          <w:tblCellMar>
            <w:top w:w="0" w:type="dxa"/>
            <w:left w:w="108" w:type="dxa"/>
            <w:bottom w:w="0" w:type="dxa"/>
            <w:right w:w="108" w:type="dxa"/>
          </w:tblCellMar>
        </w:tblPrEx>
        <w:trPr>
          <w:trHeight w:val="680" w:hRule="atLeast"/>
          <w:tblHeader/>
          <w:jc w:val="center"/>
        </w:trPr>
        <w:tc>
          <w:tcPr>
            <w:tcW w:w="46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color w:val="000000"/>
                <w:sz w:val="24"/>
              </w:rPr>
            </w:pPr>
          </w:p>
        </w:tc>
        <w:tc>
          <w:tcPr>
            <w:tcW w:w="2869" w:type="pct"/>
            <w:vMerge w:val="continue"/>
            <w:tcBorders>
              <w:top w:val="single" w:color="000000" w:sz="4" w:space="0"/>
              <w:left w:val="nil"/>
              <w:bottom w:val="single" w:color="000000" w:sz="4" w:space="0"/>
              <w:right w:val="single" w:color="000000" w:sz="4" w:space="0"/>
            </w:tcBorders>
            <w:vAlign w:val="center"/>
          </w:tcPr>
          <w:p>
            <w:pPr>
              <w:jc w:val="center"/>
              <w:rPr>
                <w:rFonts w:ascii="黑体" w:hAnsi="黑体" w:eastAsia="黑体" w:cs="黑体"/>
                <w:color w:val="000000"/>
                <w:sz w:val="24"/>
              </w:rPr>
            </w:pPr>
          </w:p>
        </w:tc>
        <w:tc>
          <w:tcPr>
            <w:tcW w:w="550" w:type="pct"/>
            <w:tcBorders>
              <w:top w:val="single" w:color="000000" w:sz="4" w:space="0"/>
              <w:left w:val="nil"/>
              <w:bottom w:val="nil"/>
              <w:right w:val="single" w:color="auto" w:sz="4" w:space="0"/>
            </w:tcBorders>
            <w:shd w:val="clear" w:color="auto" w:fill="auto"/>
            <w:vAlign w:val="center"/>
          </w:tcPr>
          <w:p>
            <w:pPr>
              <w:jc w:val="center"/>
              <w:rPr>
                <w:rFonts w:ascii="黑体" w:hAnsi="黑体" w:eastAsia="黑体" w:cs="黑体"/>
                <w:color w:val="000000"/>
                <w:sz w:val="24"/>
              </w:rPr>
            </w:pPr>
            <w:r>
              <w:rPr>
                <w:rFonts w:hint="eastAsia" w:ascii="黑体" w:hAnsi="黑体" w:eastAsia="黑体" w:cs="黑体"/>
                <w:color w:val="000000"/>
                <w:sz w:val="24"/>
              </w:rPr>
              <w:t>符合</w:t>
            </w:r>
          </w:p>
        </w:tc>
        <w:tc>
          <w:tcPr>
            <w:tcW w:w="550" w:type="pct"/>
            <w:tcBorders>
              <w:top w:val="single" w:color="000000" w:sz="4" w:space="0"/>
              <w:left w:val="nil"/>
              <w:bottom w:val="nil"/>
              <w:right w:val="single" w:color="auto" w:sz="4" w:space="0"/>
            </w:tcBorders>
            <w:shd w:val="clear" w:color="auto" w:fill="auto"/>
            <w:vAlign w:val="center"/>
          </w:tcPr>
          <w:p>
            <w:pPr>
              <w:jc w:val="center"/>
              <w:rPr>
                <w:rFonts w:ascii="黑体" w:hAnsi="黑体" w:eastAsia="黑体" w:cs="黑体"/>
                <w:color w:val="000000"/>
                <w:sz w:val="24"/>
              </w:rPr>
            </w:pPr>
            <w:r>
              <w:rPr>
                <w:rFonts w:hint="eastAsia" w:ascii="黑体" w:hAnsi="黑体" w:eastAsia="黑体" w:cs="黑体"/>
                <w:color w:val="000000"/>
                <w:sz w:val="24"/>
              </w:rPr>
              <w:t>不符合</w:t>
            </w:r>
          </w:p>
        </w:tc>
        <w:tc>
          <w:tcPr>
            <w:tcW w:w="566" w:type="pct"/>
            <w:vMerge w:val="continue"/>
            <w:tcBorders>
              <w:left w:val="single" w:color="000000" w:sz="4" w:space="0"/>
              <w:bottom w:val="nil"/>
              <w:right w:val="single" w:color="000000" w:sz="4" w:space="0"/>
            </w:tcBorders>
            <w:shd w:val="clear" w:color="auto" w:fill="auto"/>
            <w:vAlign w:val="center"/>
          </w:tcPr>
          <w:p>
            <w:pPr>
              <w:jc w:val="center"/>
              <w:rPr>
                <w:rFonts w:ascii="黑体" w:hAnsi="黑体" w:eastAsia="黑体" w:cs="黑体"/>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869" w:type="pct"/>
            <w:tcBorders>
              <w:top w:val="single" w:color="000000" w:sz="4" w:space="0"/>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总承包单位按规定将预拌混凝土发包给有资质的预拌混凝土生产企业</w:t>
            </w:r>
          </w:p>
        </w:tc>
        <w:tc>
          <w:tcPr>
            <w:tcW w:w="550" w:type="pct"/>
            <w:tcBorders>
              <w:top w:val="single" w:color="000000" w:sz="4" w:space="0"/>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single" w:color="000000" w:sz="4" w:space="0"/>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single" w:color="000000" w:sz="4" w:space="0"/>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000000" w:sz="4" w:space="0"/>
              <w:bottom w:val="single" w:color="000000"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869"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总承包单位与预拌混凝土生产企业签订书面合同，合同应明确相关技术要求</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000000" w:sz="4" w:space="0"/>
              <w:bottom w:val="single" w:color="000000"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869"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总承包单位应当编制混凝土施工方案，并按相关要求进行审批和技术交底</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000000" w:sz="4" w:space="0"/>
              <w:bottom w:val="single" w:color="000000"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869"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建立预拌混凝土进场检验和使用台账，严格执行进场验收见证取样检验制度</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000000" w:sz="4" w:space="0"/>
              <w:bottom w:val="single" w:color="000000"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2869"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混凝土进场检验和浇筑过程中，总承包单位项目技术管理人员应到岗履责</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66"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000000" w:sz="4" w:space="0"/>
              <w:bottom w:val="single" w:color="000000"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6</w:t>
            </w:r>
          </w:p>
        </w:tc>
        <w:tc>
          <w:tcPr>
            <w:tcW w:w="2869"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施工现场应具备混凝土标准试件制作条件，并应设置标准试件养护室或养护箱</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66"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000000" w:sz="4" w:space="0"/>
              <w:bottom w:val="single" w:color="000000"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p>
        </w:tc>
        <w:tc>
          <w:tcPr>
            <w:tcW w:w="2869"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总承包单位依据见证取样和送检管理规定，制定试件留置方案和试验计划</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000000" w:sz="4" w:space="0"/>
              <w:bottom w:val="single" w:color="000000"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8</w:t>
            </w:r>
          </w:p>
        </w:tc>
        <w:tc>
          <w:tcPr>
            <w:tcW w:w="2869"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总承包单位应按相关标准做好标准养护试件及同条件养护试件的取样、制作和标识工作</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000000" w:sz="4" w:space="0"/>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000000" w:sz="4" w:space="0"/>
              <w:bottom w:val="nil"/>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p>
        </w:tc>
        <w:tc>
          <w:tcPr>
            <w:tcW w:w="2869" w:type="pct"/>
            <w:tcBorders>
              <w:top w:val="nil"/>
              <w:left w:val="nil"/>
              <w:bottom w:val="nil"/>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试件送检有见证取样委托单和送检台账</w:t>
            </w:r>
          </w:p>
        </w:tc>
        <w:tc>
          <w:tcPr>
            <w:tcW w:w="550" w:type="pct"/>
            <w:tcBorders>
              <w:top w:val="nil"/>
              <w:left w:val="nil"/>
              <w:bottom w:val="nil"/>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nil"/>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nil"/>
              <w:right w:val="single" w:color="000000"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p>
        </w:tc>
        <w:tc>
          <w:tcPr>
            <w:tcW w:w="2869"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sz w:val="24"/>
              </w:rPr>
            </w:pPr>
            <w:r>
              <w:rPr>
                <w:rFonts w:ascii="仿宋_GB2312" w:hAnsi="仿宋_GB2312" w:eastAsia="仿宋_GB2312" w:cs="仿宋_GB2312"/>
                <w:sz w:val="24"/>
              </w:rPr>
              <w:t>做好天气</w:t>
            </w:r>
            <w:r>
              <w:rPr>
                <w:rFonts w:hint="eastAsia" w:ascii="仿宋_GB2312" w:hAnsi="仿宋_GB2312" w:eastAsia="仿宋_GB2312" w:cs="仿宋_GB2312"/>
                <w:sz w:val="24"/>
              </w:rPr>
              <w:t>、</w:t>
            </w:r>
            <w:r>
              <w:rPr>
                <w:rFonts w:ascii="仿宋_GB2312" w:hAnsi="仿宋_GB2312" w:eastAsia="仿宋_GB2312" w:cs="仿宋_GB2312"/>
                <w:sz w:val="24"/>
              </w:rPr>
              <w:t>混凝土入模温度</w:t>
            </w:r>
            <w:r>
              <w:rPr>
                <w:rFonts w:hint="eastAsia" w:ascii="仿宋_GB2312" w:hAnsi="仿宋_GB2312" w:eastAsia="仿宋_GB2312" w:cs="仿宋_GB2312"/>
                <w:sz w:val="24"/>
              </w:rPr>
              <w:t>、养护温度</w:t>
            </w:r>
            <w:r>
              <w:rPr>
                <w:rFonts w:ascii="仿宋_GB2312" w:hAnsi="仿宋_GB2312" w:eastAsia="仿宋_GB2312" w:cs="仿宋_GB2312"/>
                <w:sz w:val="24"/>
              </w:rPr>
              <w:t>等测温工作</w:t>
            </w:r>
          </w:p>
        </w:tc>
        <w:tc>
          <w:tcPr>
            <w:tcW w:w="550"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w:t>
            </w:r>
          </w:p>
        </w:tc>
        <w:tc>
          <w:tcPr>
            <w:tcW w:w="2869"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混凝土在浇筑过程中不存在擅自加水等违规情况</w:t>
            </w:r>
          </w:p>
        </w:tc>
        <w:tc>
          <w:tcPr>
            <w:tcW w:w="550"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50"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66"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w:t>
            </w:r>
          </w:p>
        </w:tc>
        <w:tc>
          <w:tcPr>
            <w:tcW w:w="2869"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留存混凝土浇筑、混凝土取样、制样及送样影像资料</w:t>
            </w:r>
          </w:p>
        </w:tc>
        <w:tc>
          <w:tcPr>
            <w:tcW w:w="550"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50"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66"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3</w:t>
            </w:r>
          </w:p>
        </w:tc>
        <w:tc>
          <w:tcPr>
            <w:tcW w:w="2869"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混凝土浇筑完毕后，总承包单位应严格按照规范要求进行养护</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4</w:t>
            </w:r>
          </w:p>
        </w:tc>
        <w:tc>
          <w:tcPr>
            <w:tcW w:w="2869"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总承包单位应制定结构实体检验专项方案，并经监理单位审核批准后实施</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5</w:t>
            </w:r>
          </w:p>
        </w:tc>
        <w:tc>
          <w:tcPr>
            <w:tcW w:w="2869"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有拆模试件及其强度检测报告，拆模强度符合规范要求</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6</w:t>
            </w:r>
          </w:p>
        </w:tc>
        <w:tc>
          <w:tcPr>
            <w:tcW w:w="2869"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结构实体混凝土回弹强度检验合格（回弹法推定值不合格时，应采用“回弹-取芯法”判定）</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66"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7</w:t>
            </w:r>
          </w:p>
        </w:tc>
        <w:tc>
          <w:tcPr>
            <w:tcW w:w="2869"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现场混凝土结构不存在露筋、蜂窝、孔洞、夹渣、疏松等严重质量缺陷</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566"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8</w:t>
            </w:r>
          </w:p>
        </w:tc>
        <w:tc>
          <w:tcPr>
            <w:tcW w:w="2869"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混凝土的强度等级符合设计要求，没有低标号混凝土串入高标号混凝土区域的情况</w:t>
            </w: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50"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66" w:type="pct"/>
            <w:tcBorders>
              <w:top w:val="nil"/>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9</w:t>
            </w:r>
          </w:p>
        </w:tc>
        <w:tc>
          <w:tcPr>
            <w:tcW w:w="28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现浇结构不应有影响结构性能或使用功能的尺寸偏差情况</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2869"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按规范要求，对混凝土强度进行评定，且评定合格</w:t>
            </w:r>
          </w:p>
        </w:tc>
        <w:tc>
          <w:tcPr>
            <w:tcW w:w="550"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50"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c>
          <w:tcPr>
            <w:tcW w:w="566" w:type="pct"/>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465" w:type="pct"/>
            <w:tcBorders>
              <w:top w:val="nil"/>
              <w:left w:val="single" w:color="auto" w:sz="4" w:space="0"/>
              <w:bottom w:val="single" w:color="auto" w:sz="4" w:space="0"/>
              <w:right w:val="single" w:color="auto"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结果统计</w:t>
            </w:r>
          </w:p>
        </w:tc>
        <w:tc>
          <w:tcPr>
            <w:tcW w:w="4535" w:type="pct"/>
            <w:gridSpan w:val="4"/>
            <w:tcBorders>
              <w:top w:val="nil"/>
              <w:left w:val="nil"/>
              <w:bottom w:val="single" w:color="auto" w:sz="4" w:space="0"/>
              <w:right w:val="single" w:color="000000" w:sz="4" w:space="0"/>
            </w:tcBorders>
            <w:shd w:val="clear" w:color="auto" w:fill="auto"/>
            <w:vAlign w:val="center"/>
          </w:tcPr>
          <w:p>
            <w:pPr>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符合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项                 不符合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项</w:t>
            </w:r>
          </w:p>
        </w:tc>
      </w:tr>
    </w:tbl>
    <w:p>
      <w:pPr>
        <w:spacing w:line="400" w:lineRule="exact"/>
        <w:ind w:left="1440" w:hanging="1440" w:hangingChars="600"/>
        <w:rPr>
          <w:rFonts w:ascii="仿宋_GB2312" w:eastAsia="仿宋_GB2312"/>
          <w:spacing w:val="-20"/>
          <w:kern w:val="32"/>
          <w:sz w:val="32"/>
          <w:szCs w:val="32"/>
        </w:rPr>
      </w:pPr>
      <w:r>
        <w:rPr>
          <w:rFonts w:hint="eastAsia" w:ascii="仿宋_GB2312" w:hAnsi="仿宋_GB2312" w:eastAsia="仿宋_GB2312" w:cs="仿宋_GB2312"/>
          <w:color w:val="000000"/>
          <w:kern w:val="0"/>
          <w:sz w:val="24"/>
        </w:rPr>
        <w:t xml:space="preserve">抽查组成员： </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 xml:space="preserve">                      抽查日期：</w:t>
      </w:r>
    </w:p>
    <w:p>
      <w:pPr>
        <w:spacing w:line="400" w:lineRule="exact"/>
        <w:ind w:left="1680" w:hanging="1680" w:hangingChars="600"/>
        <w:rPr>
          <w:rFonts w:ascii="仿宋_GB2312" w:eastAsia="仿宋_GB2312"/>
          <w:spacing w:val="-20"/>
          <w:kern w:val="32"/>
          <w:sz w:val="32"/>
          <w:szCs w:val="32"/>
        </w:rPr>
      </w:pPr>
    </w:p>
    <w:p>
      <w:pPr>
        <w:spacing w:line="360" w:lineRule="exact"/>
        <w:ind w:left="1680" w:hanging="1680" w:hangingChars="600"/>
        <w:rPr>
          <w:rFonts w:ascii="仿宋_GB2312" w:eastAsia="仿宋_GB2312"/>
          <w:spacing w:val="-20"/>
          <w:kern w:val="32"/>
          <w:sz w:val="32"/>
          <w:szCs w:val="32"/>
        </w:rPr>
      </w:pPr>
    </w:p>
    <w:p>
      <w:pPr>
        <w:spacing w:line="360" w:lineRule="exact"/>
        <w:ind w:left="1680" w:hanging="1680" w:hangingChars="600"/>
        <w:rPr>
          <w:rFonts w:ascii="仿宋_GB2312" w:eastAsia="仿宋_GB2312"/>
          <w:spacing w:val="-20"/>
          <w:kern w:val="32"/>
          <w:sz w:val="32"/>
          <w:szCs w:val="32"/>
        </w:rPr>
      </w:pPr>
    </w:p>
    <w:p>
      <w:pPr>
        <w:spacing w:line="360" w:lineRule="exact"/>
        <w:ind w:left="1680" w:hanging="1680" w:hangingChars="600"/>
        <w:rPr>
          <w:rFonts w:ascii="仿宋_GB2312" w:eastAsia="仿宋_GB2312"/>
          <w:spacing w:val="-20"/>
          <w:kern w:val="32"/>
          <w:sz w:val="32"/>
          <w:szCs w:val="32"/>
        </w:rPr>
      </w:pPr>
    </w:p>
    <w:p>
      <w:pPr>
        <w:spacing w:line="360" w:lineRule="exact"/>
        <w:ind w:left="1680" w:hanging="1680" w:hangingChars="600"/>
        <w:rPr>
          <w:rFonts w:ascii="仿宋_GB2312" w:eastAsia="仿宋_GB2312"/>
          <w:spacing w:val="-20"/>
          <w:kern w:val="32"/>
          <w:sz w:val="32"/>
          <w:szCs w:val="32"/>
        </w:rPr>
      </w:pPr>
    </w:p>
    <w:p>
      <w:pPr>
        <w:spacing w:line="360" w:lineRule="exact"/>
        <w:ind w:left="1680" w:hanging="1680" w:hangingChars="600"/>
        <w:rPr>
          <w:rFonts w:ascii="仿宋_GB2312" w:eastAsia="仿宋_GB2312"/>
          <w:spacing w:val="-20"/>
          <w:kern w:val="32"/>
          <w:sz w:val="32"/>
          <w:szCs w:val="32"/>
        </w:rPr>
      </w:pPr>
    </w:p>
    <w:p>
      <w:pPr>
        <w:spacing w:line="360" w:lineRule="exact"/>
        <w:ind w:left="1680" w:hanging="1680" w:hangingChars="600"/>
        <w:rPr>
          <w:rFonts w:ascii="仿宋_GB2312" w:eastAsia="仿宋_GB2312"/>
          <w:spacing w:val="-20"/>
          <w:kern w:val="32"/>
          <w:sz w:val="32"/>
          <w:szCs w:val="32"/>
        </w:rPr>
      </w:pPr>
    </w:p>
    <w:p>
      <w:pPr>
        <w:spacing w:line="360" w:lineRule="exact"/>
        <w:rPr>
          <w:rFonts w:ascii="仿宋_GB2312" w:eastAsia="仿宋_GB2312"/>
          <w:spacing w:val="-20"/>
          <w:kern w:val="32"/>
          <w:sz w:val="32"/>
          <w:szCs w:val="32"/>
        </w:rPr>
      </w:pPr>
    </w:p>
    <w:p>
      <w:pPr>
        <w:rPr>
          <w:rFonts w:ascii="黑体" w:hAnsi="黑体" w:eastAsia="黑体"/>
          <w:color w:val="000000"/>
          <w:sz w:val="28"/>
          <w:szCs w:val="28"/>
        </w:rPr>
      </w:pPr>
      <w:r>
        <w:rPr>
          <w:rFonts w:hint="eastAsia" w:ascii="黑体" w:hAnsi="黑体" w:eastAsia="黑体" w:cs="宋体"/>
          <w:color w:val="494949"/>
          <w:kern w:val="0"/>
          <w:sz w:val="32"/>
          <w:szCs w:val="32"/>
        </w:rPr>
        <w:t>附件3</w:t>
      </w:r>
    </w:p>
    <w:p>
      <w:pPr>
        <w:widowControl/>
        <w:shd w:val="clear" w:color="auto" w:fill="FFFFFF"/>
        <w:spacing w:line="600" w:lineRule="exact"/>
        <w:jc w:val="center"/>
        <w:rPr>
          <w:rFonts w:ascii="黑体" w:hAnsi="黑体" w:eastAsia="黑体" w:cs="宋体"/>
          <w:color w:val="494949"/>
          <w:kern w:val="0"/>
          <w:sz w:val="36"/>
          <w:szCs w:val="36"/>
        </w:rPr>
      </w:pPr>
      <w:r>
        <w:rPr>
          <w:rFonts w:hint="eastAsia" w:ascii="黑体" w:hAnsi="黑体" w:eastAsia="黑体" w:cs="宋体"/>
          <w:color w:val="494949"/>
          <w:kern w:val="0"/>
          <w:sz w:val="36"/>
          <w:szCs w:val="36"/>
        </w:rPr>
        <w:t>监理单位检查参考用表</w:t>
      </w:r>
    </w:p>
    <w:tbl>
      <w:tblPr>
        <w:tblStyle w:val="4"/>
        <w:tblW w:w="5000" w:type="pct"/>
        <w:jc w:val="center"/>
        <w:tblLayout w:type="autofit"/>
        <w:tblCellMar>
          <w:top w:w="0" w:type="dxa"/>
          <w:left w:w="108" w:type="dxa"/>
          <w:bottom w:w="0" w:type="dxa"/>
          <w:right w:w="108" w:type="dxa"/>
        </w:tblCellMar>
      </w:tblPr>
      <w:tblGrid>
        <w:gridCol w:w="772"/>
        <w:gridCol w:w="4987"/>
        <w:gridCol w:w="850"/>
        <w:gridCol w:w="951"/>
        <w:gridCol w:w="962"/>
      </w:tblGrid>
      <w:tr>
        <w:tblPrEx>
          <w:tblCellMar>
            <w:top w:w="0" w:type="dxa"/>
            <w:left w:w="108" w:type="dxa"/>
            <w:bottom w:w="0" w:type="dxa"/>
            <w:right w:w="108" w:type="dxa"/>
          </w:tblCellMar>
        </w:tblPrEx>
        <w:trPr>
          <w:trHeight w:val="432" w:hRule="exact"/>
          <w:jc w:val="center"/>
        </w:trPr>
        <w:tc>
          <w:tcPr>
            <w:tcW w:w="453"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序号</w:t>
            </w:r>
          </w:p>
        </w:tc>
        <w:tc>
          <w:tcPr>
            <w:tcW w:w="2926" w:type="pct"/>
            <w:vMerge w:val="restart"/>
            <w:tcBorders>
              <w:top w:val="single" w:color="000000" w:sz="4" w:space="0"/>
              <w:left w:val="nil"/>
              <w:right w:val="nil"/>
            </w:tcBorders>
            <w:shd w:val="clear" w:color="auto" w:fill="auto"/>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检查内容</w:t>
            </w:r>
          </w:p>
        </w:tc>
        <w:tc>
          <w:tcPr>
            <w:tcW w:w="10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检查结果</w:t>
            </w:r>
          </w:p>
        </w:tc>
        <w:tc>
          <w:tcPr>
            <w:tcW w:w="565"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备注</w:t>
            </w:r>
          </w:p>
        </w:tc>
      </w:tr>
      <w:tr>
        <w:tblPrEx>
          <w:tblCellMar>
            <w:top w:w="0" w:type="dxa"/>
            <w:left w:w="108" w:type="dxa"/>
            <w:bottom w:w="0" w:type="dxa"/>
            <w:right w:w="108" w:type="dxa"/>
          </w:tblCellMar>
        </w:tblPrEx>
        <w:trPr>
          <w:trHeight w:val="432" w:hRule="exact"/>
          <w:jc w:val="center"/>
        </w:trPr>
        <w:tc>
          <w:tcPr>
            <w:tcW w:w="453" w:type="pct"/>
            <w:vMerge w:val="continue"/>
            <w:tcBorders>
              <w:left w:val="single" w:color="000000" w:sz="4" w:space="0"/>
              <w:bottom w:val="single" w:color="000000" w:sz="4" w:space="0"/>
              <w:right w:val="single" w:color="000000" w:sz="4" w:space="0"/>
            </w:tcBorders>
            <w:vAlign w:val="center"/>
          </w:tcPr>
          <w:p>
            <w:pPr>
              <w:widowControl/>
              <w:jc w:val="left"/>
              <w:rPr>
                <w:rFonts w:ascii="黑体" w:hAnsi="黑体" w:eastAsia="黑体" w:cs="黑体"/>
                <w:color w:val="000000"/>
                <w:kern w:val="0"/>
                <w:sz w:val="24"/>
              </w:rPr>
            </w:pPr>
          </w:p>
        </w:tc>
        <w:tc>
          <w:tcPr>
            <w:tcW w:w="2926" w:type="pct"/>
            <w:vMerge w:val="continue"/>
            <w:tcBorders>
              <w:left w:val="nil"/>
              <w:bottom w:val="single" w:color="000000" w:sz="4" w:space="0"/>
              <w:right w:val="nil"/>
            </w:tcBorders>
            <w:vAlign w:val="center"/>
          </w:tcPr>
          <w:p>
            <w:pPr>
              <w:widowControl/>
              <w:jc w:val="left"/>
              <w:rPr>
                <w:rFonts w:ascii="黑体" w:hAnsi="黑体" w:eastAsia="黑体" w:cs="黑体"/>
                <w:color w:val="000000"/>
                <w:kern w:val="0"/>
                <w:sz w:val="24"/>
              </w:rPr>
            </w:pPr>
          </w:p>
        </w:tc>
        <w:tc>
          <w:tcPr>
            <w:tcW w:w="499" w:type="pct"/>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符合</w:t>
            </w:r>
          </w:p>
        </w:tc>
        <w:tc>
          <w:tcPr>
            <w:tcW w:w="558" w:type="pct"/>
            <w:tcBorders>
              <w:top w:val="nil"/>
              <w:left w:val="nil"/>
              <w:bottom w:val="nil"/>
              <w:right w:val="single" w:color="auto" w:sz="4" w:space="0"/>
            </w:tcBorders>
            <w:shd w:val="clear" w:color="auto" w:fill="auto"/>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不符合</w:t>
            </w:r>
          </w:p>
        </w:tc>
        <w:tc>
          <w:tcPr>
            <w:tcW w:w="565" w:type="pct"/>
            <w:vMerge w:val="continue"/>
            <w:tcBorders>
              <w:left w:val="single" w:color="auto" w:sz="4" w:space="0"/>
              <w:bottom w:val="nil"/>
              <w:right w:val="single" w:color="auto" w:sz="4" w:space="0"/>
            </w:tcBorders>
            <w:shd w:val="clear" w:color="auto" w:fill="auto"/>
            <w:vAlign w:val="center"/>
          </w:tcPr>
          <w:p>
            <w:pPr>
              <w:widowControl/>
              <w:jc w:val="center"/>
              <w:rPr>
                <w:rFonts w:ascii="黑体" w:hAnsi="黑体" w:eastAsia="黑体" w:cs="黑体"/>
                <w:color w:val="000000"/>
                <w:kern w:val="0"/>
                <w:sz w:val="24"/>
              </w:rPr>
            </w:pPr>
          </w:p>
        </w:tc>
      </w:tr>
      <w:tr>
        <w:tblPrEx>
          <w:tblCellMar>
            <w:top w:w="0" w:type="dxa"/>
            <w:left w:w="108" w:type="dxa"/>
            <w:bottom w:w="0" w:type="dxa"/>
            <w:right w:w="108" w:type="dxa"/>
          </w:tblCellMar>
        </w:tblPrEx>
        <w:trPr>
          <w:trHeight w:val="586"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2926" w:type="pct"/>
            <w:tcBorders>
              <w:top w:val="single" w:color="000000" w:sz="4" w:space="0"/>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监理单位对预拌混凝土生产企业资质进行审查</w:t>
            </w:r>
          </w:p>
        </w:tc>
        <w:tc>
          <w:tcPr>
            <w:tcW w:w="499" w:type="pct"/>
            <w:tcBorders>
              <w:top w:val="single" w:color="000000" w:sz="4" w:space="0"/>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single" w:color="000000" w:sz="4" w:space="0"/>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single" w:color="000000" w:sz="4" w:space="0"/>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845"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监理单位对总承包单位的试验计划进行审核并监督实施</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845"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监理单位见证人员对试件见证取样和送检的过程进行见证</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79"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监理单位参与预拌混凝土进场验收</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28"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监理单位有完整的混凝土见证取样及送检记录</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845"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6</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监理单位按监理实施细则对混凝土浇筑过程进行旁站</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845"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7</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监理单位按监理实施细则对混凝土的养护进行巡视</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540"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8</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监理单位对混凝土构件拆模条件进行审核</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845"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9</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监理单位对发现的混凝土质量隐患按照要求督促施工单位整改到位，并有相应的记录</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trHeight w:val="845"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驻厂监理机构对预拌混凝土生产单位使用的原材料质量进行检查</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驻厂监理机构</w:t>
            </w:r>
          </w:p>
        </w:tc>
      </w:tr>
      <w:tr>
        <w:tblPrEx>
          <w:tblCellMar>
            <w:top w:w="0" w:type="dxa"/>
            <w:left w:w="108" w:type="dxa"/>
            <w:bottom w:w="0" w:type="dxa"/>
            <w:right w:w="108" w:type="dxa"/>
          </w:tblCellMar>
        </w:tblPrEx>
        <w:trPr>
          <w:trHeight w:val="845"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驻厂监理机构对预拌混凝土生产单位使用的试验仪器及试验过程进行检查</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驻厂监理机构</w:t>
            </w:r>
          </w:p>
        </w:tc>
      </w:tr>
      <w:tr>
        <w:tblPrEx>
          <w:tblCellMar>
            <w:top w:w="0" w:type="dxa"/>
            <w:left w:w="108" w:type="dxa"/>
            <w:bottom w:w="0" w:type="dxa"/>
            <w:right w:w="108" w:type="dxa"/>
          </w:tblCellMar>
        </w:tblPrEx>
        <w:trPr>
          <w:trHeight w:val="845" w:hRule="atLeast"/>
          <w:jc w:val="center"/>
        </w:trPr>
        <w:tc>
          <w:tcPr>
            <w:tcW w:w="453" w:type="pct"/>
            <w:tcBorders>
              <w:top w:val="nil"/>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2926" w:type="pct"/>
            <w:tcBorders>
              <w:top w:val="nil"/>
              <w:left w:val="nil"/>
              <w:bottom w:val="single" w:color="000000" w:sz="4" w:space="0"/>
              <w:right w:val="single" w:color="000000" w:sz="4" w:space="0"/>
            </w:tcBorders>
            <w:shd w:val="clear" w:color="auto" w:fill="auto"/>
            <w:vAlign w:val="center"/>
          </w:tcPr>
          <w:p>
            <w:pPr>
              <w:widowControl/>
              <w:spacing w:line="44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驻厂监理机构对预拌混凝土生产单位生产过程及出厂检验进行进场</w:t>
            </w:r>
          </w:p>
        </w:tc>
        <w:tc>
          <w:tcPr>
            <w:tcW w:w="499"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58"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p>
        </w:tc>
        <w:tc>
          <w:tcPr>
            <w:tcW w:w="565" w:type="pct"/>
            <w:tcBorders>
              <w:top w:val="nil"/>
              <w:left w:val="nil"/>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驻厂监理机构</w:t>
            </w:r>
          </w:p>
        </w:tc>
      </w:tr>
      <w:tr>
        <w:tblPrEx>
          <w:tblCellMar>
            <w:top w:w="0" w:type="dxa"/>
            <w:left w:w="108" w:type="dxa"/>
            <w:bottom w:w="0" w:type="dxa"/>
            <w:right w:w="108" w:type="dxa"/>
          </w:tblCellMar>
        </w:tblPrEx>
        <w:trPr>
          <w:trHeight w:val="850" w:hRule="exact"/>
          <w:jc w:val="center"/>
        </w:trPr>
        <w:tc>
          <w:tcPr>
            <w:tcW w:w="453" w:type="pct"/>
            <w:tcBorders>
              <w:top w:val="nil"/>
              <w:left w:val="single" w:color="000000" w:sz="4" w:space="0"/>
              <w:bottom w:val="single" w:color="000000" w:sz="4" w:space="0"/>
              <w:right w:val="nil"/>
            </w:tcBorders>
            <w:shd w:val="clear" w:color="auto" w:fill="auto"/>
            <w:vAlign w:val="center"/>
          </w:tcPr>
          <w:p>
            <w:pPr>
              <w:widowControl/>
              <w:spacing w:line="44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结果统计</w:t>
            </w:r>
          </w:p>
        </w:tc>
        <w:tc>
          <w:tcPr>
            <w:tcW w:w="45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符合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项                 不符合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项</w:t>
            </w:r>
          </w:p>
        </w:tc>
      </w:tr>
    </w:tbl>
    <w:p>
      <w:pPr>
        <w:spacing w:line="360" w:lineRule="exact"/>
        <w:ind w:left="1440" w:hanging="1440" w:hangingChars="600"/>
        <w:rPr>
          <w:rFonts w:ascii="仿宋_GB2312" w:eastAsia="仿宋_GB2312"/>
          <w:spacing w:val="-20"/>
          <w:kern w:val="32"/>
          <w:sz w:val="32"/>
          <w:szCs w:val="32"/>
        </w:rPr>
      </w:pPr>
      <w:r>
        <w:rPr>
          <w:rFonts w:hint="eastAsia" w:ascii="仿宋_GB2312" w:hAnsi="仿宋_GB2312" w:eastAsia="仿宋_GB2312" w:cs="仿宋_GB2312"/>
          <w:color w:val="000000"/>
          <w:kern w:val="0"/>
          <w:sz w:val="24"/>
        </w:rPr>
        <w:t>抽查组成员：                                     抽查日期：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C4D"/>
    <w:rsid w:val="000601AA"/>
    <w:rsid w:val="00381844"/>
    <w:rsid w:val="005862CB"/>
    <w:rsid w:val="00967C4D"/>
    <w:rsid w:val="0F62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440</Words>
  <Characters>2513</Characters>
  <Lines>20</Lines>
  <Paragraphs>5</Paragraphs>
  <TotalTime>0</TotalTime>
  <ScaleCrop>false</ScaleCrop>
  <LinksUpToDate>false</LinksUpToDate>
  <CharactersWithSpaces>2948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2021-11-16T08:10:00Z</dcterms:created>
  <dc:creator>果亚然</dc:creator>
  <cp:lastModifiedBy>zjw</cp:lastModifiedBy>
  <dcterms:modified xsi:type="dcterms:W3CDTF">2021-11-21T09:37:19Z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E271120CC41C496982F8987B528270CA</vt:lpwstr>
  </property>
</Properties>
</file>