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920956">
      <w:pPr>
        <w:pStyle w:val="78"/>
        <w:kinsoku/>
        <w:overflowPunct/>
        <w:bidi w:val="0"/>
        <w:spacing w:line="360" w:lineRule="auto"/>
        <w:rPr>
          <w:color w:val="auto"/>
          <w:highlight w:val="none"/>
        </w:rPr>
        <w:sectPr>
          <w:headerReference r:id="rId4" w:type="first"/>
          <w:headerReference r:id="rId3" w:type="default"/>
          <w:footerReference r:id="rId5" w:type="default"/>
          <w:footerReference r:id="rId6" w:type="even"/>
          <w:pgSz w:w="11907" w:h="16839"/>
          <w:pgMar w:top="567" w:right="851" w:bottom="1361" w:left="1418" w:header="0" w:footer="0" w:gutter="0"/>
          <w:pgNumType w:start="1"/>
          <w:cols w:space="425" w:num="1"/>
          <w:titlePg/>
          <w:docGrid w:type="lines" w:linePitch="312" w:charSpace="0"/>
        </w:sectPr>
      </w:pPr>
      <w:bookmarkStart w:id="194" w:name="_GoBack"/>
      <w:bookmarkEnd w:id="194"/>
      <w:bookmarkStart w:id="0" w:name="SectionMark0"/>
      <w:r>
        <w:rPr>
          <w:color w:val="auto"/>
          <w:highlight w:val="none"/>
        </w:rPr>
        <w:drawing>
          <wp:anchor distT="0" distB="0" distL="114300" distR="114300" simplePos="0" relativeHeight="251669504" behindDoc="0" locked="0" layoutInCell="1" allowOverlap="1">
            <wp:simplePos x="0" y="0"/>
            <wp:positionH relativeFrom="column">
              <wp:posOffset>359410</wp:posOffset>
            </wp:positionH>
            <wp:positionV relativeFrom="paragraph">
              <wp:posOffset>8608695</wp:posOffset>
            </wp:positionV>
            <wp:extent cx="5295900" cy="657225"/>
            <wp:effectExtent l="0" t="0" r="0" b="9525"/>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5295900" cy="657225"/>
                    </a:xfrm>
                    <a:prstGeom prst="rect">
                      <a:avLst/>
                    </a:prstGeom>
                    <a:noFill/>
                    <a:ln>
                      <a:noFill/>
                    </a:ln>
                  </pic:spPr>
                </pic:pic>
              </a:graphicData>
            </a:graphic>
          </wp:anchor>
        </w:drawing>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8563610</wp:posOffset>
                </wp:positionV>
                <wp:extent cx="6121400" cy="0"/>
                <wp:effectExtent l="0" t="0" r="12700" b="0"/>
                <wp:wrapNone/>
                <wp:docPr id="11" name="Line 12"/>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anchor>
            </w:drawing>
          </mc:Choice>
          <mc:Fallback>
            <w:pict>
              <v:line id="Line 12" o:spid="_x0000_s1026" o:spt="20" style="position:absolute;left:0pt;margin-left:0pt;margin-top:674.3pt;height:0pt;width:482pt;z-index:251668480;mso-width-relative:page;mso-height-relative:page;" filled="f" stroked="t" coordsize="21600,21600" o:gfxdata="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v7Rn9cAAAAKAQAADwAAAAAAAAABACAAAAAiAAAAZHJzL2Rv&#10;d25yZXYueG1sUEsBAhQAFAAAAAgAh07iQJk/4BDJAQAAogMAAA4AAAAAAAAAAQAgAAAAJgEAAGRy&#10;cy9lMm9Eb2MueG1sUEsFBgAAAAAGAAYAWQEAAGEFAAAAAA==&#10;">
                <v:fill on="f" focussize="0,0"/>
                <v:stroke weight="1pt" color="#080000"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2272665</wp:posOffset>
                </wp:positionV>
                <wp:extent cx="6121400" cy="0"/>
                <wp:effectExtent l="0" t="0" r="12700" b="0"/>
                <wp:wrapNone/>
                <wp:docPr id="10" name="Line 11"/>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anchor>
            </w:drawing>
          </mc:Choice>
          <mc:Fallback>
            <w:pict>
              <v:line id="Line 11" o:spid="_x0000_s1026" o:spt="20" style="position:absolute;left:0pt;margin-left:0pt;margin-top:178.95pt;height:0pt;width:482pt;z-index:251667456;mso-width-relative:page;mso-height-relative:page;" filled="f" stroked="t" coordsize="21600,21600" o:gfxdata="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O+y27XAAAACAEAAA8AAAAAAAAAAQAgAAAAIgAAAGRycy9k&#10;b3ducmV2LnhtbFBLAQIUABQAAAAIAIdO4kCyu4SUygEAAKIDAAAOAAAAAAAAAAEAIAAAACYBAABk&#10;cnMvZTJvRG9jLnhtbFBLBQYAAAAABgAGAFkBAABiBQAAAAA=&#10;">
                <v:fill on="f" focussize="0,0"/>
                <v:stroke weight="1pt" color="#080000"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666432" behindDoc="0" locked="1" layoutInCell="1" allowOverlap="1">
                <wp:simplePos x="0" y="0"/>
                <wp:positionH relativeFrom="margin">
                  <wp:posOffset>3919220</wp:posOffset>
                </wp:positionH>
                <wp:positionV relativeFrom="margin">
                  <wp:posOffset>8183245</wp:posOffset>
                </wp:positionV>
                <wp:extent cx="2286000" cy="352425"/>
                <wp:effectExtent l="0" t="0" r="0" b="9525"/>
                <wp:wrapNone/>
                <wp:docPr id="8" name="fmFrame6"/>
                <wp:cNvGraphicFramePr/>
                <a:graphic xmlns:a="http://schemas.openxmlformats.org/drawingml/2006/main">
                  <a:graphicData uri="http://schemas.microsoft.com/office/word/2010/wordprocessingShape">
                    <wps:wsp>
                      <wps:cNvSpPr txBox="1">
                        <a:spLocks noChangeArrowheads="1"/>
                      </wps:cNvSpPr>
                      <wps:spPr bwMode="auto">
                        <a:xfrm>
                          <a:off x="0" y="0"/>
                          <a:ext cx="2286000" cy="352425"/>
                        </a:xfrm>
                        <a:prstGeom prst="rect">
                          <a:avLst/>
                        </a:prstGeom>
                        <a:solidFill>
                          <a:srgbClr val="FFFFFF"/>
                        </a:solidFill>
                        <a:ln>
                          <a:noFill/>
                        </a:ln>
                      </wps:spPr>
                      <wps:txbx>
                        <w:txbxContent>
                          <w:p w14:paraId="2E6A8883">
                            <w:pPr>
                              <w:pStyle w:val="97"/>
                              <w:ind w:right="420"/>
                            </w:pPr>
                            <w:r>
                              <w:rPr>
                                <w:rFonts w:hint="eastAsia"/>
                                <w:lang w:val="en-US" w:eastAsia="zh-CN"/>
                              </w:rPr>
                              <w:t>202</w:t>
                            </w:r>
                            <w:r>
                              <w:rPr>
                                <w:rFonts w:hint="eastAsia"/>
                              </w:rPr>
                              <w:t>×-××-××实施</w:t>
                            </w:r>
                          </w:p>
                        </w:txbxContent>
                      </wps:txbx>
                      <wps:bodyPr rot="0" vert="horz" wrap="square" lIns="0" tIns="0" rIns="0" bIns="0" anchor="t" anchorCtr="0" upright="1">
                        <a:noAutofit/>
                      </wps:bodyPr>
                    </wps:wsp>
                  </a:graphicData>
                </a:graphic>
              </wp:anchor>
            </w:drawing>
          </mc:Choice>
          <mc:Fallback>
            <w:pict>
              <v:shape id="fmFrame6" o:spid="_x0000_s1026" o:spt="202" type="#_x0000_t202" style="position:absolute;left:0pt;margin-left:308.6pt;margin-top:644.35pt;height:27.75pt;width:180pt;mso-position-horizontal-relative:margin;mso-position-vertical-relative:margin;z-index:251666432;mso-width-relative:page;mso-height-relative:page;" fillcolor="#FFFFFF" filled="t" stroked="f" coordsize="21600,21600" o:gfxdata="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8MJ4TaAAAADQEAAA8AAAAAAAAA&#10;AQAgAAAAIgAAAGRycy9kb3ducmV2LnhtbFBLAQIUABQAAAAIAIdO4kA+WoXcDwIAACsEAAAOAAAA&#10;AAAAAAEAIAAAACkBAABkcnMvZTJvRG9jLnhtbFBLBQYAAAAABgAGAFkBAACqBQAAAAA=&#10;">
                <v:fill on="t" focussize="0,0"/>
                <v:stroke on="f"/>
                <v:imagedata o:title=""/>
                <o:lock v:ext="edit" aspectratio="f"/>
                <v:textbox inset="0mm,0mm,0mm,0mm">
                  <w:txbxContent>
                    <w:p w14:paraId="2E6A8883">
                      <w:pPr>
                        <w:pStyle w:val="97"/>
                        <w:ind w:right="420"/>
                      </w:pPr>
                      <w:r>
                        <w:rPr>
                          <w:rFonts w:hint="eastAsia"/>
                          <w:lang w:val="en-US" w:eastAsia="zh-CN"/>
                        </w:rPr>
                        <w:t>202</w:t>
                      </w:r>
                      <w:r>
                        <w:rPr>
                          <w:rFonts w:hint="eastAsia"/>
                        </w:rPr>
                        <w:t>×-××-××实施</w:t>
                      </w:r>
                    </w:p>
                  </w:txbxContent>
                </v:textbox>
                <w10:anchorlock/>
              </v:shape>
            </w:pict>
          </mc:Fallback>
        </mc:AlternateContent>
      </w:r>
      <w:r>
        <w:rPr>
          <w:color w:val="auto"/>
          <w:highlight w:val="none"/>
        </w:rPr>
        <mc:AlternateContent>
          <mc:Choice Requires="wps">
            <w:drawing>
              <wp:anchor distT="0" distB="0" distL="114300" distR="114300" simplePos="0" relativeHeight="251666432" behindDoc="0" locked="1" layoutInCell="1" allowOverlap="1">
                <wp:simplePos x="0" y="0"/>
                <wp:positionH relativeFrom="margin">
                  <wp:posOffset>0</wp:posOffset>
                </wp:positionH>
                <wp:positionV relativeFrom="margin">
                  <wp:posOffset>8221980</wp:posOffset>
                </wp:positionV>
                <wp:extent cx="2019300" cy="312420"/>
                <wp:effectExtent l="0" t="0" r="0" b="0"/>
                <wp:wrapNone/>
                <wp:docPr id="7" name="fmFrame5"/>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14:paraId="55A3A260">
                            <w:pPr>
                              <w:pStyle w:val="69"/>
                            </w:pPr>
                            <w:r>
                              <w:rPr>
                                <w:rFonts w:hint="eastAsia"/>
                                <w:lang w:val="en-US" w:eastAsia="zh-CN"/>
                              </w:rPr>
                              <w:t>202</w:t>
                            </w:r>
                            <w:r>
                              <w:rPr>
                                <w:rFonts w:hint="eastAsia"/>
                              </w:rPr>
                              <w:t>×-××-××发布</w:t>
                            </w:r>
                          </w:p>
                        </w:txbxContent>
                      </wps:txbx>
                      <wps:bodyPr rot="0" vert="horz" wrap="square" lIns="0" tIns="0" rIns="0" bIns="0" anchor="t" anchorCtr="0" upright="1">
                        <a:noAutofit/>
                      </wps:bodyPr>
                    </wps:wsp>
                  </a:graphicData>
                </a:graphic>
              </wp:anchor>
            </w:drawing>
          </mc:Choice>
          <mc:Fallback>
            <w:pict>
              <v:shape id="fmFrame5" o:spid="_x0000_s1026" o:spt="202" type="#_x0000_t202" style="position:absolute;left:0pt;margin-left:0pt;margin-top:647.4pt;height:24.6pt;width:159pt;mso-position-horizontal-relative:margin;mso-position-vertical-relative:margin;z-index:251666432;mso-width-relative:page;mso-height-relative:page;" fillcolor="#FFFFFF" filled="t" stroked="f" coordsize="21600,21600" o:gfxdata="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tjb/YAAAACgEAAA8AAAAAAAAAAQAg&#10;AAAAIgAAAGRycy9kb3ducmV2LnhtbFBLAQIUABQAAAAIAIdO4kBwRvrSDgIAACsEAAAOAAAAAAAA&#10;AAEAIAAAACcBAABkcnMvZTJvRG9jLnhtbFBLBQYAAAAABgAGAFkBAACnBQAAAAA=&#10;">
                <v:fill on="t" focussize="0,0"/>
                <v:stroke on="f"/>
                <v:imagedata o:title=""/>
                <o:lock v:ext="edit" aspectratio="f"/>
                <v:textbox inset="0mm,0mm,0mm,0mm">
                  <w:txbxContent>
                    <w:p w14:paraId="55A3A260">
                      <w:pPr>
                        <w:pStyle w:val="69"/>
                      </w:pPr>
                      <w:r>
                        <w:rPr>
                          <w:rFonts w:hint="eastAsia"/>
                          <w:lang w:val="en-US" w:eastAsia="zh-CN"/>
                        </w:rPr>
                        <w:t>202</w:t>
                      </w:r>
                      <w:r>
                        <w:rPr>
                          <w:rFonts w:hint="eastAsia"/>
                        </w:rPr>
                        <w:t>×-××-××发布</w:t>
                      </w:r>
                    </w:p>
                  </w:txbxContent>
                </v:textbox>
                <w10:anchorlock/>
              </v:shape>
            </w:pict>
          </mc:Fallback>
        </mc:AlternateContent>
      </w:r>
      <w:r>
        <w:rPr>
          <w:color w:val="auto"/>
          <w:highlight w:val="none"/>
        </w:rPr>
        <mc:AlternateContent>
          <mc:Choice Requires="wps">
            <w:drawing>
              <wp:anchor distT="0" distB="0" distL="114300" distR="114300" simplePos="0" relativeHeight="251665408" behindDoc="0" locked="1" layoutInCell="1" allowOverlap="1">
                <wp:simplePos x="0" y="0"/>
                <wp:positionH relativeFrom="margin">
                  <wp:posOffset>0</wp:posOffset>
                </wp:positionH>
                <wp:positionV relativeFrom="margin">
                  <wp:posOffset>3635375</wp:posOffset>
                </wp:positionV>
                <wp:extent cx="5969000" cy="4681220"/>
                <wp:effectExtent l="0" t="0" r="0" b="0"/>
                <wp:wrapNone/>
                <wp:docPr id="6" name="fmFrame4"/>
                <wp:cNvGraphicFramePr/>
                <a:graphic xmlns:a="http://schemas.openxmlformats.org/drawingml/2006/main">
                  <a:graphicData uri="http://schemas.microsoft.com/office/word/2010/wordprocessingShape">
                    <wps:wsp>
                      <wps:cNvSpPr txBox="1">
                        <a:spLocks noChangeArrowheads="1"/>
                      </wps:cNvSpPr>
                      <wps:spPr bwMode="auto">
                        <a:xfrm>
                          <a:off x="0" y="0"/>
                          <a:ext cx="5969000" cy="4681220"/>
                        </a:xfrm>
                        <a:prstGeom prst="rect">
                          <a:avLst/>
                        </a:prstGeom>
                        <a:solidFill>
                          <a:srgbClr val="FFFFFF"/>
                        </a:solidFill>
                        <a:ln>
                          <a:noFill/>
                        </a:ln>
                      </wps:spPr>
                      <wps:txbx>
                        <w:txbxContent>
                          <w:p w14:paraId="6D088E1C">
                            <w:pPr>
                              <w:pStyle w:val="73"/>
                            </w:pPr>
                            <w:r>
                              <w:rPr>
                                <w:rFonts w:hint="eastAsia"/>
                              </w:rPr>
                              <w:t>超高性能混凝土试验方法</w:t>
                            </w:r>
                          </w:p>
                          <w:p w14:paraId="7C40BEA2">
                            <w:pPr>
                              <w:jc w:val="center"/>
                              <w:rPr>
                                <w:b/>
                                <w:sz w:val="30"/>
                                <w:szCs w:val="30"/>
                              </w:rPr>
                            </w:pPr>
                            <w:r>
                              <w:rPr>
                                <w:rFonts w:hint="eastAsia"/>
                                <w:b/>
                                <w:sz w:val="30"/>
                                <w:szCs w:val="30"/>
                                <w:lang w:val="en-US" w:eastAsia="zh-CN"/>
                              </w:rPr>
                              <w:t>T</w:t>
                            </w:r>
                            <w:r>
                              <w:rPr>
                                <w:b/>
                                <w:sz w:val="30"/>
                                <w:szCs w:val="30"/>
                              </w:rPr>
                              <w:t xml:space="preserve">est methods for ultra-high performance concrete </w:t>
                            </w:r>
                          </w:p>
                          <w:p w14:paraId="5ADE38F9">
                            <w:pPr>
                              <w:pStyle w:val="77"/>
                              <w:rPr>
                                <w:rFonts w:hint="eastAsia"/>
                              </w:rPr>
                            </w:pPr>
                            <w:r>
                              <w:rPr>
                                <w:rFonts w:hint="eastAsia"/>
                              </w:rPr>
                              <w:t>(</w:t>
                            </w:r>
                            <w:r>
                              <w:rPr>
                                <w:rFonts w:hint="eastAsia"/>
                                <w:lang w:val="en-US" w:eastAsia="zh-CN"/>
                              </w:rPr>
                              <w:t>征求意见稿</w:t>
                            </w:r>
                            <w:r>
                              <w:rPr>
                                <w:rFonts w:hint="eastAsia"/>
                              </w:rPr>
                              <w:t>)</w:t>
                            </w:r>
                          </w:p>
                          <w:p w14:paraId="5FC10BF1">
                            <w:pPr>
                              <w:pStyle w:val="77"/>
                              <w:rPr>
                                <w:rFonts w:hint="default" w:eastAsia="宋体"/>
                                <w:lang w:val="en-US" w:eastAsia="zh-CN"/>
                              </w:rPr>
                            </w:pPr>
                          </w:p>
                        </w:txbxContent>
                      </wps:txbx>
                      <wps:bodyPr rot="0" vert="horz" wrap="square" lIns="0" tIns="0" rIns="0" bIns="0" anchor="t" anchorCtr="0" upright="1">
                        <a:noAutofit/>
                      </wps:bodyPr>
                    </wps:wsp>
                  </a:graphicData>
                </a:graphic>
              </wp:anchor>
            </w:drawing>
          </mc:Choice>
          <mc:Fallback>
            <w:pict>
              <v:shape id="fmFrame4" o:spid="_x0000_s1026" o:spt="202" type="#_x0000_t202" style="position:absolute;left:0pt;margin-left:0pt;margin-top:286.25pt;height:368.6pt;width:470pt;mso-position-horizontal-relative:margin;mso-position-vertical-relative:margin;z-index:251665408;mso-width-relative:page;mso-height-relative:page;" fillcolor="#FFFFFF" filled="t" stroked="f" coordsize="21600,21600" o:gfxdata="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FefcdgAAAAJAQAADwAAAAAAAAAB&#10;ACAAAAAiAAAAZHJzL2Rvd25yZXYueG1sUEsBAhQAFAAAAAgAh07iQJaE3KUQAgAALAQAAA4AAAAA&#10;AAAAAQAgAAAAJwEAAGRycy9lMm9Eb2MueG1sUEsFBgAAAAAGAAYAWQEAAKkFAAAAAA==&#10;">
                <v:fill on="t" focussize="0,0"/>
                <v:stroke on="f"/>
                <v:imagedata o:title=""/>
                <o:lock v:ext="edit" aspectratio="f"/>
                <v:textbox inset="0mm,0mm,0mm,0mm">
                  <w:txbxContent>
                    <w:p w14:paraId="6D088E1C">
                      <w:pPr>
                        <w:pStyle w:val="73"/>
                      </w:pPr>
                      <w:r>
                        <w:rPr>
                          <w:rFonts w:hint="eastAsia"/>
                        </w:rPr>
                        <w:t>超高性能混凝土试验方法</w:t>
                      </w:r>
                    </w:p>
                    <w:p w14:paraId="7C40BEA2">
                      <w:pPr>
                        <w:jc w:val="center"/>
                        <w:rPr>
                          <w:b/>
                          <w:sz w:val="30"/>
                          <w:szCs w:val="30"/>
                        </w:rPr>
                      </w:pPr>
                      <w:r>
                        <w:rPr>
                          <w:rFonts w:hint="eastAsia"/>
                          <w:b/>
                          <w:sz w:val="30"/>
                          <w:szCs w:val="30"/>
                          <w:lang w:val="en-US" w:eastAsia="zh-CN"/>
                        </w:rPr>
                        <w:t>T</w:t>
                      </w:r>
                      <w:r>
                        <w:rPr>
                          <w:b/>
                          <w:sz w:val="30"/>
                          <w:szCs w:val="30"/>
                        </w:rPr>
                        <w:t xml:space="preserve">est methods for ultra-high performance concrete </w:t>
                      </w:r>
                    </w:p>
                    <w:p w14:paraId="5ADE38F9">
                      <w:pPr>
                        <w:pStyle w:val="77"/>
                        <w:rPr>
                          <w:rFonts w:hint="eastAsia"/>
                        </w:rPr>
                      </w:pPr>
                      <w:r>
                        <w:rPr>
                          <w:rFonts w:hint="eastAsia"/>
                        </w:rPr>
                        <w:t>(</w:t>
                      </w:r>
                      <w:r>
                        <w:rPr>
                          <w:rFonts w:hint="eastAsia"/>
                          <w:lang w:val="en-US" w:eastAsia="zh-CN"/>
                        </w:rPr>
                        <w:t>征求意见稿</w:t>
                      </w:r>
                      <w:r>
                        <w:rPr>
                          <w:rFonts w:hint="eastAsia"/>
                        </w:rPr>
                        <w:t>)</w:t>
                      </w:r>
                    </w:p>
                    <w:p w14:paraId="5FC10BF1">
                      <w:pPr>
                        <w:pStyle w:val="77"/>
                        <w:rPr>
                          <w:rFonts w:hint="default" w:eastAsia="宋体"/>
                          <w:lang w:val="en-US" w:eastAsia="zh-CN"/>
                        </w:rPr>
                      </w:pPr>
                    </w:p>
                  </w:txbxContent>
                </v:textbox>
                <w10:anchorlock/>
              </v:shape>
            </w:pict>
          </mc:Fallback>
        </mc:AlternateContent>
      </w:r>
      <w:r>
        <w:rPr>
          <w:color w:val="auto"/>
          <w:highlight w:val="none"/>
        </w:rPr>
        <mc:AlternateContent>
          <mc:Choice Requires="wps">
            <w:drawing>
              <wp:anchor distT="0" distB="0" distL="114300" distR="114300" simplePos="0" relativeHeight="251664384" behindDoc="0" locked="1" layoutInCell="1" allowOverlap="1">
                <wp:simplePos x="0" y="0"/>
                <wp:positionH relativeFrom="margin">
                  <wp:posOffset>0</wp:posOffset>
                </wp:positionH>
                <wp:positionV relativeFrom="margin">
                  <wp:posOffset>1401445</wp:posOffset>
                </wp:positionV>
                <wp:extent cx="5802630" cy="860425"/>
                <wp:effectExtent l="0" t="0" r="0" b="0"/>
                <wp:wrapNone/>
                <wp:docPr id="4" name="fmFrame3"/>
                <wp:cNvGraphicFramePr/>
                <a:graphic xmlns:a="http://schemas.openxmlformats.org/drawingml/2006/main">
                  <a:graphicData uri="http://schemas.microsoft.com/office/word/2010/wordprocessingShape">
                    <wps:wsp>
                      <wps:cNvSpPr txBox="1">
                        <a:spLocks noChangeArrowheads="1"/>
                      </wps:cNvSpPr>
                      <wps:spPr bwMode="auto">
                        <a:xfrm>
                          <a:off x="0" y="0"/>
                          <a:ext cx="5802630" cy="860425"/>
                        </a:xfrm>
                        <a:prstGeom prst="rect">
                          <a:avLst/>
                        </a:prstGeom>
                        <a:solidFill>
                          <a:srgbClr val="FFFFFF"/>
                        </a:solidFill>
                        <a:ln>
                          <a:noFill/>
                        </a:ln>
                      </wps:spPr>
                      <wps:txbx>
                        <w:txbxContent>
                          <w:p w14:paraId="1F00680B">
                            <w:pPr>
                              <w:pStyle w:val="71"/>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GB/T </w:t>
                            </w:r>
                            <w:r>
                              <w:rPr>
                                <w:rFonts w:hint="eastAsia"/>
                                <w:color w:val="000000" w:themeColor="text1"/>
                                <w:lang w:val="en-US" w:eastAsia="zh-CN"/>
                                <w14:textFill>
                                  <w14:solidFill>
                                    <w14:schemeClr w14:val="tx1"/>
                                  </w14:solidFill>
                                </w14:textFill>
                              </w:rPr>
                              <w:t>XXXX</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202X</w:t>
                            </w:r>
                          </w:p>
                          <w:p w14:paraId="6DA4206C">
                            <w:pPr>
                              <w:pStyle w:val="72"/>
                              <w:jc w:val="center"/>
                              <w:rPr>
                                <w:color w:val="FF0000"/>
                              </w:rPr>
                            </w:pPr>
                            <w:r>
                              <w:rPr>
                                <w:rFonts w:hint="eastAsia"/>
                                <w:color w:val="FF0000"/>
                              </w:rPr>
                              <w:t xml:space="preserve">                                                               </w:t>
                            </w:r>
                          </w:p>
                        </w:txbxContent>
                      </wps:txbx>
                      <wps:bodyPr rot="0" vert="horz" wrap="square" lIns="0" tIns="0" rIns="0" bIns="0" anchor="t" anchorCtr="0" upright="1">
                        <a:noAutofit/>
                      </wps:bodyPr>
                    </wps:wsp>
                  </a:graphicData>
                </a:graphic>
              </wp:anchor>
            </w:drawing>
          </mc:Choice>
          <mc:Fallback>
            <w:pict>
              <v:shape id="fmFrame3" o:spid="_x0000_s1026" o:spt="202" type="#_x0000_t202" style="position:absolute;left:0pt;margin-left:0pt;margin-top:110.35pt;height:67.75pt;width:456.9pt;mso-position-horizontal-relative:margin;mso-position-vertical-relative:margin;z-index:251664384;mso-width-relative:page;mso-height-relative:page;" fillcolor="#FFFFFF" filled="t" stroked="f" coordsize="21600,21600" o:gfxdata="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QGk+9gAAAAIAQAADwAAAAAAAAAB&#10;ACAAAAAiAAAAZHJzL2Rvd25yZXYueG1sUEsBAhQAFAAAAAgAh07iQFD7lBUQAgAAKwQAAA4AAAAA&#10;AAAAAQAgAAAAJwEAAGRycy9lMm9Eb2MueG1sUEsFBgAAAAAGAAYAWQEAAKkFAAAAAA==&#10;">
                <v:fill on="t" focussize="0,0"/>
                <v:stroke on="f"/>
                <v:imagedata o:title=""/>
                <o:lock v:ext="edit" aspectratio="f"/>
                <v:textbox inset="0mm,0mm,0mm,0mm">
                  <w:txbxContent>
                    <w:p w14:paraId="1F00680B">
                      <w:pPr>
                        <w:pStyle w:val="71"/>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GB/T </w:t>
                      </w:r>
                      <w:r>
                        <w:rPr>
                          <w:rFonts w:hint="eastAsia"/>
                          <w:color w:val="000000" w:themeColor="text1"/>
                          <w:lang w:val="en-US" w:eastAsia="zh-CN"/>
                          <w14:textFill>
                            <w14:solidFill>
                              <w14:schemeClr w14:val="tx1"/>
                            </w14:solidFill>
                          </w14:textFill>
                        </w:rPr>
                        <w:t>XXXX</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202X</w:t>
                      </w:r>
                    </w:p>
                    <w:p w14:paraId="6DA4206C">
                      <w:pPr>
                        <w:pStyle w:val="72"/>
                        <w:jc w:val="center"/>
                        <w:rPr>
                          <w:color w:val="FF0000"/>
                        </w:rPr>
                      </w:pPr>
                      <w:r>
                        <w:rPr>
                          <w:rFonts w:hint="eastAsia"/>
                          <w:color w:val="FF0000"/>
                        </w:rPr>
                        <w:t xml:space="preserve">                                                               </w:t>
                      </w:r>
                    </w:p>
                  </w:txbxContent>
                </v:textbox>
                <w10:anchorlock/>
              </v:shape>
            </w:pict>
          </mc:Fallback>
        </mc:AlternateContent>
      </w:r>
      <w:r>
        <w:rPr>
          <w:color w:val="auto"/>
          <w:highlight w:val="none"/>
        </w:rPr>
        <w:drawing>
          <wp:anchor distT="0" distB="0" distL="114300" distR="114300" simplePos="0" relativeHeight="251661312" behindDoc="0" locked="1" layoutInCell="1" allowOverlap="1">
            <wp:simplePos x="0" y="0"/>
            <wp:positionH relativeFrom="margin">
              <wp:posOffset>4284345</wp:posOffset>
            </wp:positionH>
            <wp:positionV relativeFrom="margin">
              <wp:posOffset>107315</wp:posOffset>
            </wp:positionV>
            <wp:extent cx="1403350" cy="720090"/>
            <wp:effectExtent l="0" t="0" r="0" b="0"/>
            <wp:wrapNone/>
            <wp:docPr id="5" name="HBPicture" descr="GB"/>
            <wp:cNvGraphicFramePr/>
            <a:graphic xmlns:a="http://schemas.openxmlformats.org/drawingml/2006/main">
              <a:graphicData uri="http://schemas.openxmlformats.org/drawingml/2006/picture">
                <pic:pic xmlns:pic="http://schemas.openxmlformats.org/drawingml/2006/picture">
                  <pic:nvPicPr>
                    <pic:cNvPr id="5" name="HBPicture" descr="GB"/>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03350" cy="720090"/>
                    </a:xfrm>
                    <a:prstGeom prst="rect">
                      <a:avLst/>
                    </a:prstGeom>
                    <a:noFill/>
                    <a:ln>
                      <a:noFill/>
                    </a:ln>
                  </pic:spPr>
                </pic:pic>
              </a:graphicData>
            </a:graphic>
          </wp:anchor>
        </w:drawing>
      </w:r>
      <w:r>
        <w:rPr>
          <w:color w:val="auto"/>
          <w:highlight w:val="none"/>
        </w:rPr>
        <mc:AlternateContent>
          <mc:Choice Requires="wps">
            <w:drawing>
              <wp:anchor distT="0" distB="0" distL="114300" distR="114300" simplePos="0" relativeHeight="251663360" behindDoc="0" locked="1" layoutInCell="1" allowOverlap="1">
                <wp:simplePos x="0" y="0"/>
                <wp:positionH relativeFrom="margin">
                  <wp:posOffset>0</wp:posOffset>
                </wp:positionH>
                <wp:positionV relativeFrom="margin">
                  <wp:posOffset>1010920</wp:posOffset>
                </wp:positionV>
                <wp:extent cx="6120130" cy="391160"/>
                <wp:effectExtent l="0" t="0" r="0" b="0"/>
                <wp:wrapNone/>
                <wp:docPr id="3" name="fmFrame2"/>
                <wp:cNvGraphicFramePr/>
                <a:graphic xmlns:a="http://schemas.openxmlformats.org/drawingml/2006/main">
                  <a:graphicData uri="http://schemas.microsoft.com/office/word/2010/wordprocessingShape">
                    <wps:wsp>
                      <wps:cNvSpPr txBox="1">
                        <a:spLocks noChangeArrowheads="1"/>
                      </wps:cNvSpPr>
                      <wps:spPr bwMode="auto">
                        <a:xfrm>
                          <a:off x="0" y="0"/>
                          <a:ext cx="6120130" cy="391160"/>
                        </a:xfrm>
                        <a:prstGeom prst="rect">
                          <a:avLst/>
                        </a:prstGeom>
                        <a:solidFill>
                          <a:srgbClr val="FFFFFF"/>
                        </a:solidFill>
                        <a:ln>
                          <a:noFill/>
                        </a:ln>
                      </wps:spPr>
                      <wps:txbx>
                        <w:txbxContent>
                          <w:p w14:paraId="66D65F68">
                            <w:pPr>
                              <w:pStyle w:val="56"/>
                            </w:pPr>
                            <w:r>
                              <w:rPr>
                                <w:rFonts w:hint="eastAsia"/>
                              </w:rPr>
                              <w:t>中华人民共和国国家标准</w:t>
                            </w:r>
                          </w:p>
                        </w:txbxContent>
                      </wps:txbx>
                      <wps:bodyPr rot="0" vert="horz" wrap="square" lIns="0" tIns="0" rIns="0" bIns="0" anchor="t" anchorCtr="0" upright="1">
                        <a:noAutofit/>
                      </wps:bodyPr>
                    </wps:wsp>
                  </a:graphicData>
                </a:graphic>
              </wp:anchor>
            </w:drawing>
          </mc:Choice>
          <mc:Fallback>
            <w:pict>
              <v:shape id="fmFrame2" o:spid="_x0000_s1026" o:spt="202" type="#_x0000_t202" style="position:absolute;left:0pt;margin-left:0pt;margin-top:79.6pt;height:30.8pt;width:481.9pt;mso-position-horizontal-relative:margin;mso-position-vertical-relative:margin;z-index:251663360;mso-width-relative:page;mso-height-relative:page;" fillcolor="#FFFFFF" filled="t" stroked="f" coordsize="21600,21600" o:gfxdata="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g5HBdcAAAAIAQAADwAAAAAAAAABACAA&#10;AAAiAAAAZHJzL2Rvd25yZXYueG1sUEsBAhQAFAAAAAgAh07iQL1ajLsOAgAAKwQAAA4AAAAAAAAA&#10;AQAgAAAAJgEAAGRycy9lMm9Eb2MueG1sUEsFBgAAAAAGAAYAWQEAAKYFAAAAAA==&#10;">
                <v:fill on="t" focussize="0,0"/>
                <v:stroke on="f"/>
                <v:imagedata o:title=""/>
                <o:lock v:ext="edit" aspectratio="f"/>
                <v:textbox inset="0mm,0mm,0mm,0mm">
                  <w:txbxContent>
                    <w:p w14:paraId="66D65F68">
                      <w:pPr>
                        <w:pStyle w:val="56"/>
                      </w:pPr>
                      <w:r>
                        <w:rPr>
                          <w:rFonts w:hint="eastAsia"/>
                        </w:rPr>
                        <w:t>中华人民共和国国家标准</w:t>
                      </w:r>
                    </w:p>
                  </w:txbxContent>
                </v:textbox>
                <w10:anchorlock/>
              </v:shape>
            </w:pict>
          </mc:Fallback>
        </mc:AlternateContent>
      </w:r>
      <w:r>
        <w:rPr>
          <w:color w:val="auto"/>
          <w:highlight w:val="none"/>
        </w:rPr>
        <mc:AlternateContent>
          <mc:Choice Requires="wps">
            <w:drawing>
              <wp:anchor distT="0" distB="0" distL="114300" distR="114300" simplePos="0" relativeHeight="251662336" behindDoc="0" locked="1" layoutInCell="1" allowOverlap="1">
                <wp:simplePos x="0" y="0"/>
                <wp:positionH relativeFrom="margin">
                  <wp:posOffset>0</wp:posOffset>
                </wp:positionH>
                <wp:positionV relativeFrom="margin">
                  <wp:posOffset>0</wp:posOffset>
                </wp:positionV>
                <wp:extent cx="2540000" cy="657860"/>
                <wp:effectExtent l="0" t="0" r="0" b="0"/>
                <wp:wrapNone/>
                <wp:docPr id="2" name="fmFrame1"/>
                <wp:cNvGraphicFramePr/>
                <a:graphic xmlns:a="http://schemas.openxmlformats.org/drawingml/2006/main">
                  <a:graphicData uri="http://schemas.microsoft.com/office/word/2010/wordprocessingShape">
                    <wps:wsp>
                      <wps:cNvSpPr txBox="1">
                        <a:spLocks noChangeArrowheads="1"/>
                      </wps:cNvSpPr>
                      <wps:spPr bwMode="auto">
                        <a:xfrm>
                          <a:off x="0" y="0"/>
                          <a:ext cx="2540000" cy="657860"/>
                        </a:xfrm>
                        <a:prstGeom prst="rect">
                          <a:avLst/>
                        </a:prstGeom>
                        <a:solidFill>
                          <a:srgbClr val="FFFFFF"/>
                        </a:solidFill>
                        <a:ln>
                          <a:noFill/>
                        </a:ln>
                      </wps:spPr>
                      <wps:txbx>
                        <w:txbxContent>
                          <w:p w14:paraId="4055C0C6">
                            <w:pPr>
                              <w:snapToGrid w:val="0"/>
                              <w:spacing w:after="0" w:line="360" w:lineRule="auto"/>
                              <w:jc w:val="left"/>
                              <w:rPr>
                                <w:sz w:val="24"/>
                              </w:rPr>
                            </w:pPr>
                            <w:bookmarkStart w:id="190" w:name="_Toc225160129"/>
                            <w:bookmarkStart w:id="191" w:name="_Toc230511562"/>
                            <w:bookmarkStart w:id="192" w:name="_Toc230511647"/>
                            <w:bookmarkStart w:id="193" w:name="_Toc225159918"/>
                            <w:r>
                              <w:rPr>
                                <w:sz w:val="24"/>
                              </w:rPr>
                              <w:t>ICS 91.100.30</w:t>
                            </w:r>
                          </w:p>
                          <w:p w14:paraId="34D13523">
                            <w:pPr>
                              <w:snapToGrid w:val="0"/>
                              <w:spacing w:after="0" w:line="360" w:lineRule="auto"/>
                              <w:jc w:val="left"/>
                              <w:rPr>
                                <w:sz w:val="24"/>
                              </w:rPr>
                            </w:pPr>
                            <w:r>
                              <w:rPr>
                                <w:rFonts w:hint="eastAsia"/>
                                <w:sz w:val="24"/>
                              </w:rPr>
                              <w:t xml:space="preserve">CCS </w:t>
                            </w:r>
                            <w:r>
                              <w:rPr>
                                <w:sz w:val="24"/>
                              </w:rPr>
                              <w:t>Q</w:t>
                            </w:r>
                            <w:r>
                              <w:rPr>
                                <w:rFonts w:hint="eastAsia"/>
                                <w:sz w:val="24"/>
                              </w:rPr>
                              <w:t xml:space="preserve"> </w:t>
                            </w:r>
                            <w:r>
                              <w:rPr>
                                <w:sz w:val="24"/>
                              </w:rPr>
                              <w:t>13</w:t>
                            </w:r>
                          </w:p>
                          <w:bookmarkEnd w:id="190"/>
                          <w:bookmarkEnd w:id="191"/>
                          <w:bookmarkEnd w:id="192"/>
                          <w:bookmarkEnd w:id="193"/>
                          <w:p w14:paraId="57D9CFC3">
                            <w:pPr>
                              <w:rPr>
                                <w:rFonts w:hint="default"/>
                                <w:lang w:val="en-US" w:eastAsia="zh-CN"/>
                              </w:rPr>
                            </w:pPr>
                          </w:p>
                        </w:txbxContent>
                      </wps:txbx>
                      <wps:bodyPr rot="0" vert="horz" wrap="square" lIns="0" tIns="0" rIns="0" bIns="0" anchor="t" anchorCtr="0" upright="1">
                        <a:noAutofit/>
                      </wps:bodyPr>
                    </wps:wsp>
                  </a:graphicData>
                </a:graphic>
              </wp:anchor>
            </w:drawing>
          </mc:Choice>
          <mc:Fallback>
            <w:pict>
              <v:shape id="fmFrame1" o:spid="_x0000_s1026" o:spt="202" type="#_x0000_t202" style="position:absolute;left:0pt;margin-left:0pt;margin-top:0pt;height:51.8pt;width:200pt;mso-position-horizontal-relative:margin;mso-position-vertical-relative:margin;z-index:251662336;mso-width-relative:page;mso-height-relative:page;" fillcolor="#FFFFFF" filled="t" stroked="f" coordsize="21600,21600" o:gfxdata="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zL4NMAAAAFAQAADwAAAAAAAAABACAAAAAi&#10;AAAAZHJzL2Rvd25yZXYueG1sUEsBAhQAFAAAAAgAh07iQAnRnG8PAgAAKwQAAA4AAAAAAAAAAQAg&#10;AAAAIgEAAGRycy9lMm9Eb2MueG1sUEsFBgAAAAAGAAYAWQEAAKMFAAAAAA==&#10;">
                <v:fill on="t" focussize="0,0"/>
                <v:stroke on="f"/>
                <v:imagedata o:title=""/>
                <o:lock v:ext="edit" aspectratio="f"/>
                <v:textbox inset="0mm,0mm,0mm,0mm">
                  <w:txbxContent>
                    <w:p w14:paraId="4055C0C6">
                      <w:pPr>
                        <w:snapToGrid w:val="0"/>
                        <w:spacing w:after="0" w:line="360" w:lineRule="auto"/>
                        <w:jc w:val="left"/>
                        <w:rPr>
                          <w:sz w:val="24"/>
                        </w:rPr>
                      </w:pPr>
                      <w:bookmarkStart w:id="190" w:name="_Toc225160129"/>
                      <w:bookmarkStart w:id="191" w:name="_Toc230511562"/>
                      <w:bookmarkStart w:id="192" w:name="_Toc230511647"/>
                      <w:bookmarkStart w:id="193" w:name="_Toc225159918"/>
                      <w:r>
                        <w:rPr>
                          <w:sz w:val="24"/>
                        </w:rPr>
                        <w:t>ICS 91.100.30</w:t>
                      </w:r>
                    </w:p>
                    <w:p w14:paraId="34D13523">
                      <w:pPr>
                        <w:snapToGrid w:val="0"/>
                        <w:spacing w:after="0" w:line="360" w:lineRule="auto"/>
                        <w:jc w:val="left"/>
                        <w:rPr>
                          <w:sz w:val="24"/>
                        </w:rPr>
                      </w:pPr>
                      <w:r>
                        <w:rPr>
                          <w:rFonts w:hint="eastAsia"/>
                          <w:sz w:val="24"/>
                        </w:rPr>
                        <w:t xml:space="preserve">CCS </w:t>
                      </w:r>
                      <w:r>
                        <w:rPr>
                          <w:sz w:val="24"/>
                        </w:rPr>
                        <w:t>Q</w:t>
                      </w:r>
                      <w:r>
                        <w:rPr>
                          <w:rFonts w:hint="eastAsia"/>
                          <w:sz w:val="24"/>
                        </w:rPr>
                        <w:t xml:space="preserve"> </w:t>
                      </w:r>
                      <w:r>
                        <w:rPr>
                          <w:sz w:val="24"/>
                        </w:rPr>
                        <w:t>13</w:t>
                      </w:r>
                    </w:p>
                    <w:bookmarkEnd w:id="190"/>
                    <w:bookmarkEnd w:id="191"/>
                    <w:bookmarkEnd w:id="192"/>
                    <w:bookmarkEnd w:id="193"/>
                    <w:p w14:paraId="57D9CFC3">
                      <w:pPr>
                        <w:rPr>
                          <w:rFonts w:hint="default"/>
                          <w:lang w:val="en-US" w:eastAsia="zh-CN"/>
                        </w:rPr>
                      </w:pPr>
                    </w:p>
                  </w:txbxContent>
                </v:textbox>
                <w10:anchorlock/>
              </v:shape>
            </w:pict>
          </mc:Fallback>
        </mc:AlternateContent>
      </w:r>
    </w:p>
    <w:bookmarkEnd w:id="0"/>
    <w:p w14:paraId="6E7CF138">
      <w:pPr>
        <w:pStyle w:val="62"/>
        <w:keepNext/>
        <w:pageBreakBefore/>
        <w:kinsoku/>
        <w:overflowPunct/>
        <w:bidi w:val="0"/>
        <w:spacing w:line="360" w:lineRule="auto"/>
        <w:rPr>
          <w:color w:val="auto"/>
          <w:highlight w:val="none"/>
        </w:rPr>
      </w:pPr>
      <w:bookmarkStart w:id="1" w:name="_Toc11382"/>
      <w:bookmarkStart w:id="2" w:name="SectionMark2"/>
      <w:r>
        <w:rPr>
          <w:color w:val="auto"/>
          <w:highlight w:val="none"/>
        </w:rPr>
        <w:t>前    言</w:t>
      </w:r>
      <w:bookmarkEnd w:id="1"/>
    </w:p>
    <w:p w14:paraId="4A3EEE66">
      <w:pPr>
        <w:tabs>
          <w:tab w:val="left" w:pos="255"/>
          <w:tab w:val="center" w:pos="4153"/>
        </w:tabs>
        <w:kinsoku/>
        <w:overflowPunct/>
        <w:bidi w:val="0"/>
        <w:spacing w:line="360" w:lineRule="auto"/>
        <w:ind w:firstLine="435"/>
        <w:rPr>
          <w:color w:val="auto"/>
          <w:highlight w:val="none"/>
        </w:rPr>
      </w:pPr>
      <w:r>
        <w:rPr>
          <w:color w:val="auto"/>
          <w:highlight w:val="none"/>
        </w:rPr>
        <w:t>本文件按照GB/T 1.1-2020</w:t>
      </w:r>
      <w:r>
        <w:rPr>
          <w:rFonts w:hint="eastAsia"/>
          <w:color w:val="auto"/>
          <w:highlight w:val="none"/>
        </w:rPr>
        <w:t>给出的规则</w:t>
      </w:r>
      <w:r>
        <w:rPr>
          <w:color w:val="auto"/>
          <w:highlight w:val="none"/>
        </w:rPr>
        <w:t>起草。</w:t>
      </w:r>
    </w:p>
    <w:p w14:paraId="6B4C9F09">
      <w:pPr>
        <w:kinsoku/>
        <w:overflowPunct/>
        <w:bidi w:val="0"/>
        <w:spacing w:line="360" w:lineRule="auto"/>
        <w:ind w:firstLine="420" w:firstLineChars="200"/>
        <w:rPr>
          <w:color w:val="auto"/>
          <w:szCs w:val="21"/>
          <w:highlight w:val="none"/>
        </w:rPr>
      </w:pPr>
      <w:r>
        <w:rPr>
          <w:color w:val="auto"/>
          <w:szCs w:val="21"/>
          <w:highlight w:val="none"/>
        </w:rPr>
        <w:t>本文件由中华人民共和国住房和城乡建设部提出。</w:t>
      </w:r>
    </w:p>
    <w:p w14:paraId="757E1041">
      <w:pPr>
        <w:kinsoku/>
        <w:overflowPunct/>
        <w:bidi w:val="0"/>
        <w:spacing w:line="360" w:lineRule="auto"/>
        <w:ind w:firstLine="420" w:firstLineChars="200"/>
        <w:rPr>
          <w:color w:val="auto"/>
          <w:szCs w:val="21"/>
          <w:highlight w:val="none"/>
        </w:rPr>
      </w:pPr>
      <w:r>
        <w:rPr>
          <w:color w:val="auto"/>
          <w:szCs w:val="21"/>
          <w:highlight w:val="none"/>
        </w:rPr>
        <w:t>本文件由全国混凝土标准化技术委员会 (SAC/TC458) 归口。</w:t>
      </w:r>
    </w:p>
    <w:p w14:paraId="004294B7">
      <w:pPr>
        <w:kinsoku/>
        <w:overflowPunct/>
        <w:bidi w:val="0"/>
        <w:spacing w:line="360" w:lineRule="auto"/>
        <w:ind w:firstLine="420" w:firstLineChars="200"/>
        <w:rPr>
          <w:rFonts w:hint="eastAsia" w:eastAsia="宋体"/>
          <w:color w:val="auto"/>
          <w:szCs w:val="21"/>
          <w:highlight w:val="none"/>
          <w:lang w:eastAsia="zh-CN"/>
        </w:rPr>
      </w:pPr>
      <w:r>
        <w:rPr>
          <w:color w:val="auto"/>
          <w:szCs w:val="21"/>
          <w:highlight w:val="none"/>
        </w:rPr>
        <w:t>本文件负责起草单位：中国建筑科学研究院有限公司</w:t>
      </w:r>
      <w:r>
        <w:rPr>
          <w:rFonts w:hint="eastAsia"/>
          <w:color w:val="auto"/>
          <w:szCs w:val="21"/>
          <w:highlight w:val="none"/>
          <w:lang w:eastAsia="zh-CN"/>
        </w:rPr>
        <w:t>、</w:t>
      </w:r>
    </w:p>
    <w:p w14:paraId="154FD0C7">
      <w:pPr>
        <w:kinsoku/>
        <w:overflowPunct/>
        <w:bidi w:val="0"/>
        <w:spacing w:line="360" w:lineRule="auto"/>
        <w:ind w:firstLine="420" w:firstLineChars="200"/>
        <w:rPr>
          <w:color w:val="auto"/>
          <w:szCs w:val="21"/>
          <w:highlight w:val="none"/>
        </w:rPr>
      </w:pPr>
      <w:r>
        <w:rPr>
          <w:color w:val="auto"/>
          <w:szCs w:val="21"/>
          <w:highlight w:val="none"/>
        </w:rPr>
        <w:t>本文件参加起草单位：</w:t>
      </w:r>
    </w:p>
    <w:p w14:paraId="320920C9">
      <w:pPr>
        <w:kinsoku/>
        <w:overflowPunct/>
        <w:bidi w:val="0"/>
        <w:spacing w:line="360" w:lineRule="auto"/>
        <w:ind w:firstLine="420" w:firstLineChars="200"/>
        <w:rPr>
          <w:color w:val="auto"/>
          <w:szCs w:val="21"/>
          <w:highlight w:val="none"/>
        </w:rPr>
      </w:pPr>
      <w:r>
        <w:rPr>
          <w:color w:val="auto"/>
          <w:szCs w:val="21"/>
          <w:highlight w:val="none"/>
        </w:rPr>
        <w:t>本文件主要起草人：</w:t>
      </w:r>
    </w:p>
    <w:bookmarkEnd w:id="2"/>
    <w:p w14:paraId="233B9399">
      <w:pPr>
        <w:pStyle w:val="92"/>
        <w:kinsoku/>
        <w:overflowPunct/>
        <w:bidi w:val="0"/>
        <w:spacing w:line="360" w:lineRule="auto"/>
        <w:rPr>
          <w:rFonts w:ascii="Times New Roman" w:eastAsia="宋体"/>
          <w:color w:val="auto"/>
          <w:highlight w:val="none"/>
        </w:rPr>
        <w:sectPr>
          <w:footerReference r:id="rId7" w:type="default"/>
          <w:pgSz w:w="11907" w:h="16839"/>
          <w:pgMar w:top="1418" w:right="1134" w:bottom="1134" w:left="1418" w:header="1418" w:footer="851" w:gutter="0"/>
          <w:pgNumType w:fmt="upperRoman" w:start="1"/>
          <w:cols w:space="425" w:num="1"/>
          <w:docGrid w:type="lines" w:linePitch="312" w:charSpace="0"/>
        </w:sectPr>
      </w:pPr>
      <w:bookmarkStart w:id="3" w:name="SectionMark4"/>
    </w:p>
    <w:sdt>
      <w:sdtPr>
        <w:rPr>
          <w:rFonts w:hAnsi="Times New Roman" w:cs="Times New Roman"/>
          <w:spacing w:val="320"/>
          <w:lang w:val="en-US" w:eastAsia="zh-CN"/>
        </w:rPr>
        <w:id w:val="147455910"/>
        <w15:color w:val="DBDBDB"/>
        <w:docPartObj>
          <w:docPartGallery w:val="Table of Contents"/>
          <w:docPartUnique/>
        </w:docPartObj>
      </w:sdtPr>
      <w:sdtEndPr>
        <w:rPr>
          <w:rFonts w:hAnsi="Times New Roman" w:cs="Times New Roman"/>
          <w:spacing w:val="320"/>
          <w:lang w:val="en-US" w:eastAsia="zh-CN"/>
        </w:rPr>
      </w:sdtEndPr>
      <w:sdtContent>
        <w:p w14:paraId="685BBB75">
          <w:pPr>
            <w:pStyle w:val="132"/>
            <w:keepNext w:val="0"/>
            <w:keepLines w:val="0"/>
            <w:pageBreakBefore w:val="0"/>
            <w:widowControl w:val="0"/>
            <w:kinsoku/>
            <w:wordWrap/>
            <w:overflowPunct/>
            <w:topLinePunct w:val="0"/>
            <w:autoSpaceDE/>
            <w:autoSpaceDN/>
            <w:bidi w:val="0"/>
            <w:adjustRightInd/>
            <w:snapToGrid/>
            <w:spacing w:before="360" w:after="157" w:afterLines="50"/>
            <w:textAlignment w:val="auto"/>
            <w:rPr>
              <w:rFonts w:hint="eastAsia" w:hAnsi="Times New Roman" w:cs="Times New Roman"/>
              <w:spacing w:val="320"/>
              <w:lang w:val="en-US" w:eastAsia="zh-CN"/>
            </w:rPr>
          </w:pPr>
          <w:r>
            <w:rPr>
              <w:rFonts w:hAnsi="Times New Roman" w:cs="Times New Roman"/>
              <w:spacing w:val="320"/>
            </w:rPr>
            <w:t>目</w:t>
          </w:r>
          <w:r>
            <w:rPr>
              <w:rFonts w:hint="eastAsia" w:hAnsi="Times New Roman" w:cs="Times New Roman"/>
              <w:spacing w:val="320"/>
              <w:lang w:val="en-US" w:eastAsia="zh-CN"/>
            </w:rPr>
            <w:t>次</w:t>
          </w:r>
        </w:p>
        <w:p w14:paraId="15B73E0E">
          <w:pPr>
            <w:pStyle w:val="17"/>
            <w:tabs>
              <w:tab w:val="right" w:leader="dot" w:pos="9355"/>
            </w:tabs>
            <w:rPr>
              <w:rFonts w:hint="eastAsia" w:ascii="宋体" w:hAnsi="宋体" w:eastAsia="宋体" w:cs="宋体"/>
              <w:b w:val="0"/>
              <w:bCs w:val="0"/>
            </w:rPr>
          </w:pPr>
          <w:r>
            <w:fldChar w:fldCharType="begin"/>
          </w:r>
          <w:r>
            <w:instrText xml:space="preserve">TOC \o "1-2" \h \u </w:instrText>
          </w:r>
          <w:r>
            <w:fldChar w:fldCharType="separate"/>
          </w: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_Toc11382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前    言</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_Toc11382 \h </w:instrText>
          </w:r>
          <w:r>
            <w:rPr>
              <w:rFonts w:hint="eastAsia" w:ascii="宋体" w:hAnsi="宋体" w:eastAsia="宋体" w:cs="宋体"/>
              <w:b w:val="0"/>
              <w:bCs w:val="0"/>
            </w:rPr>
            <w:fldChar w:fldCharType="separate"/>
          </w:r>
          <w:r>
            <w:rPr>
              <w:rFonts w:hint="eastAsia" w:ascii="宋体" w:hAnsi="宋体" w:eastAsia="宋体" w:cs="宋体"/>
              <w:b w:val="0"/>
              <w:bCs w:val="0"/>
            </w:rPr>
            <w:t>1</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7D2DE9C6">
          <w:pPr>
            <w:pStyle w:val="17"/>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_Toc15137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1  范围</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_Toc15137 \h </w:instrText>
          </w:r>
          <w:r>
            <w:rPr>
              <w:rFonts w:hint="eastAsia" w:ascii="宋体" w:hAnsi="宋体" w:eastAsia="宋体" w:cs="宋体"/>
              <w:b w:val="0"/>
              <w:bCs w:val="0"/>
            </w:rPr>
            <w:fldChar w:fldCharType="separate"/>
          </w:r>
          <w:r>
            <w:rPr>
              <w:rFonts w:hint="eastAsia" w:ascii="宋体" w:hAnsi="宋体" w:eastAsia="宋体" w:cs="宋体"/>
              <w:b w:val="0"/>
              <w:bCs w:val="0"/>
            </w:rPr>
            <w:t>3</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F8ED0D3">
          <w:pPr>
            <w:pStyle w:val="17"/>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_Toc21949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2  规范性引用文件</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_Toc21949 \h </w:instrText>
          </w:r>
          <w:r>
            <w:rPr>
              <w:rFonts w:hint="eastAsia" w:ascii="宋体" w:hAnsi="宋体" w:eastAsia="宋体" w:cs="宋体"/>
              <w:b w:val="0"/>
              <w:bCs w:val="0"/>
            </w:rPr>
            <w:fldChar w:fldCharType="separate"/>
          </w:r>
          <w:r>
            <w:rPr>
              <w:rFonts w:hint="eastAsia" w:ascii="宋体" w:hAnsi="宋体" w:eastAsia="宋体" w:cs="宋体"/>
              <w:b w:val="0"/>
              <w:bCs w:val="0"/>
            </w:rPr>
            <w:t>3</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9F39B08">
          <w:pPr>
            <w:pStyle w:val="17"/>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_Toc30144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3  术语和定义</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_Toc30144 \h </w:instrText>
          </w:r>
          <w:r>
            <w:rPr>
              <w:rFonts w:hint="eastAsia" w:ascii="宋体" w:hAnsi="宋体" w:eastAsia="宋体" w:cs="宋体"/>
              <w:b w:val="0"/>
              <w:bCs w:val="0"/>
            </w:rPr>
            <w:fldChar w:fldCharType="separate"/>
          </w:r>
          <w:r>
            <w:rPr>
              <w:rFonts w:hint="eastAsia" w:ascii="宋体" w:hAnsi="宋体" w:eastAsia="宋体" w:cs="宋体"/>
              <w:b w:val="0"/>
              <w:bCs w:val="0"/>
            </w:rPr>
            <w:t>4</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238E1E48">
          <w:pPr>
            <w:pStyle w:val="17"/>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_Toc15136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4  取样与试件制备</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_Toc15136 \h </w:instrText>
          </w:r>
          <w:r>
            <w:rPr>
              <w:rFonts w:hint="eastAsia" w:ascii="宋体" w:hAnsi="宋体" w:eastAsia="宋体" w:cs="宋体"/>
              <w:b w:val="0"/>
              <w:bCs w:val="0"/>
            </w:rPr>
            <w:fldChar w:fldCharType="separate"/>
          </w:r>
          <w:r>
            <w:rPr>
              <w:rFonts w:hint="eastAsia" w:ascii="宋体" w:hAnsi="宋体" w:eastAsia="宋体" w:cs="宋体"/>
              <w:b w:val="0"/>
              <w:bCs w:val="0"/>
            </w:rPr>
            <w:t>5</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3374D562">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_Toc23548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4.</w:t>
          </w:r>
          <w:r>
            <w:rPr>
              <w:rFonts w:hint="eastAsia" w:ascii="宋体" w:hAnsi="宋体" w:eastAsia="宋体" w:cs="宋体"/>
              <w:b w:val="0"/>
              <w:bCs w:val="0"/>
              <w:strike w:val="0"/>
              <w:kern w:val="2"/>
              <w:szCs w:val="21"/>
              <w:highlight w:val="none"/>
              <w:lang w:val="en-US" w:eastAsia="zh-CN"/>
            </w:rPr>
            <w:t>1</w:t>
          </w:r>
          <w:r>
            <w:rPr>
              <w:rFonts w:hint="eastAsia" w:ascii="宋体" w:hAnsi="宋体" w:eastAsia="宋体" w:cs="宋体"/>
              <w:b w:val="0"/>
              <w:bCs w:val="0"/>
              <w:highlight w:val="none"/>
            </w:rPr>
            <w:t xml:space="preserve"> 取样</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_Toc23548 \h </w:instrText>
          </w:r>
          <w:r>
            <w:rPr>
              <w:rFonts w:hint="eastAsia" w:ascii="宋体" w:hAnsi="宋体" w:eastAsia="宋体" w:cs="宋体"/>
              <w:b w:val="0"/>
              <w:bCs w:val="0"/>
            </w:rPr>
            <w:fldChar w:fldCharType="separate"/>
          </w:r>
          <w:r>
            <w:rPr>
              <w:rFonts w:hint="eastAsia" w:ascii="宋体" w:hAnsi="宋体" w:eastAsia="宋体" w:cs="宋体"/>
              <w:b w:val="0"/>
              <w:bCs w:val="0"/>
            </w:rPr>
            <w:t>5</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15B13EDE">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_Toc17122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4.</w:t>
          </w:r>
          <w:r>
            <w:rPr>
              <w:rFonts w:hint="eastAsia" w:ascii="宋体" w:hAnsi="宋体" w:eastAsia="宋体" w:cs="宋体"/>
              <w:b w:val="0"/>
              <w:bCs w:val="0"/>
              <w:strike w:val="0"/>
              <w:kern w:val="2"/>
              <w:szCs w:val="21"/>
              <w:highlight w:val="none"/>
              <w:lang w:val="en-US" w:eastAsia="zh-CN"/>
            </w:rPr>
            <w:t>2</w:t>
          </w:r>
          <w:r>
            <w:rPr>
              <w:rFonts w:hint="eastAsia" w:ascii="宋体" w:hAnsi="宋体" w:eastAsia="宋体" w:cs="宋体"/>
              <w:b w:val="0"/>
              <w:bCs w:val="0"/>
              <w:highlight w:val="none"/>
            </w:rPr>
            <w:t xml:space="preserve"> 试件制备</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_Toc17122 \h </w:instrText>
          </w:r>
          <w:r>
            <w:rPr>
              <w:rFonts w:hint="eastAsia" w:ascii="宋体" w:hAnsi="宋体" w:eastAsia="宋体" w:cs="宋体"/>
              <w:b w:val="0"/>
              <w:bCs w:val="0"/>
            </w:rPr>
            <w:fldChar w:fldCharType="separate"/>
          </w:r>
          <w:r>
            <w:rPr>
              <w:rFonts w:hint="eastAsia" w:ascii="宋体" w:hAnsi="宋体" w:eastAsia="宋体" w:cs="宋体"/>
              <w:b w:val="0"/>
              <w:bCs w:val="0"/>
            </w:rPr>
            <w:t>6</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331468DB">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_Toc7280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4.</w:t>
          </w:r>
          <w:r>
            <w:rPr>
              <w:rFonts w:hint="eastAsia" w:ascii="宋体" w:hAnsi="宋体" w:eastAsia="宋体" w:cs="宋体"/>
              <w:b w:val="0"/>
              <w:bCs w:val="0"/>
              <w:highlight w:val="none"/>
              <w:lang w:val="en-US" w:eastAsia="zh-CN"/>
            </w:rPr>
            <w:t>3</w:t>
          </w:r>
          <w:r>
            <w:rPr>
              <w:rFonts w:hint="eastAsia" w:ascii="宋体" w:hAnsi="宋体" w:eastAsia="宋体" w:cs="宋体"/>
              <w:b w:val="0"/>
              <w:bCs w:val="0"/>
              <w:highlight w:val="none"/>
            </w:rPr>
            <w:t xml:space="preserve"> </w:t>
          </w:r>
          <w:r>
            <w:rPr>
              <w:rFonts w:hint="eastAsia" w:ascii="宋体" w:hAnsi="宋体" w:eastAsia="宋体" w:cs="宋体"/>
              <w:b w:val="0"/>
              <w:bCs w:val="0"/>
              <w:highlight w:val="none"/>
              <w:lang w:val="en-US" w:eastAsia="zh-CN"/>
            </w:rPr>
            <w:t>力学性能与耐久性能</w:t>
          </w:r>
          <w:r>
            <w:rPr>
              <w:rFonts w:hint="eastAsia" w:ascii="宋体" w:hAnsi="宋体" w:eastAsia="宋体" w:cs="宋体"/>
              <w:b w:val="0"/>
              <w:bCs w:val="0"/>
              <w:highlight w:val="none"/>
            </w:rPr>
            <w:t>试件的尺寸测量与公差</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_Toc7280 \h </w:instrText>
          </w:r>
          <w:r>
            <w:rPr>
              <w:rFonts w:hint="eastAsia" w:ascii="宋体" w:hAnsi="宋体" w:eastAsia="宋体" w:cs="宋体"/>
              <w:b w:val="0"/>
              <w:bCs w:val="0"/>
            </w:rPr>
            <w:fldChar w:fldCharType="separate"/>
          </w:r>
          <w:r>
            <w:rPr>
              <w:rFonts w:hint="eastAsia" w:ascii="宋体" w:hAnsi="宋体" w:eastAsia="宋体" w:cs="宋体"/>
              <w:b w:val="0"/>
              <w:bCs w:val="0"/>
            </w:rPr>
            <w:t>6</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207291C0">
          <w:pPr>
            <w:pStyle w:val="17"/>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_Toc25848 </w:instrText>
          </w:r>
          <w:r>
            <w:rPr>
              <w:rFonts w:hint="eastAsia" w:ascii="宋体" w:hAnsi="宋体" w:eastAsia="宋体" w:cs="宋体"/>
              <w:b w:val="0"/>
              <w:bCs w:val="0"/>
            </w:rPr>
            <w:fldChar w:fldCharType="separate"/>
          </w:r>
          <w:r>
            <w:rPr>
              <w:rFonts w:hint="eastAsia" w:ascii="宋体" w:hAnsi="宋体" w:eastAsia="宋体" w:cs="宋体"/>
              <w:b w:val="0"/>
              <w:bCs w:val="0"/>
              <w:highlight w:val="none"/>
              <w:lang w:val="en-US" w:eastAsia="zh-CN"/>
            </w:rPr>
            <w:t>5 拌合物性能试验方法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_Toc25848 \h </w:instrText>
          </w:r>
          <w:r>
            <w:rPr>
              <w:rFonts w:hint="eastAsia" w:ascii="宋体" w:hAnsi="宋体" w:eastAsia="宋体" w:cs="宋体"/>
              <w:b w:val="0"/>
              <w:bCs w:val="0"/>
            </w:rPr>
            <w:fldChar w:fldCharType="separate"/>
          </w:r>
          <w:r>
            <w:rPr>
              <w:rFonts w:hint="eastAsia" w:ascii="宋体" w:hAnsi="宋体" w:eastAsia="宋体" w:cs="宋体"/>
              <w:b w:val="0"/>
              <w:bCs w:val="0"/>
            </w:rPr>
            <w:t>7</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C5B4C72">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_Toc19450 </w:instrText>
          </w:r>
          <w:r>
            <w:rPr>
              <w:rFonts w:hint="eastAsia" w:ascii="宋体" w:hAnsi="宋体" w:eastAsia="宋体" w:cs="宋体"/>
              <w:b w:val="0"/>
              <w:bCs w:val="0"/>
            </w:rPr>
            <w:fldChar w:fldCharType="separate"/>
          </w:r>
          <w:r>
            <w:rPr>
              <w:rFonts w:hint="eastAsia" w:ascii="宋体" w:hAnsi="宋体" w:eastAsia="宋体" w:cs="宋体"/>
              <w:b w:val="0"/>
              <w:bCs w:val="0"/>
              <w:kern w:val="0"/>
              <w:szCs w:val="20"/>
              <w:highlight w:val="none"/>
            </w:rPr>
            <w:t>5.1 坍落度及坍落度经时损失</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_Toc19450 \h </w:instrText>
          </w:r>
          <w:r>
            <w:rPr>
              <w:rFonts w:hint="eastAsia" w:ascii="宋体" w:hAnsi="宋体" w:eastAsia="宋体" w:cs="宋体"/>
              <w:b w:val="0"/>
              <w:bCs w:val="0"/>
            </w:rPr>
            <w:fldChar w:fldCharType="separate"/>
          </w:r>
          <w:r>
            <w:rPr>
              <w:rFonts w:hint="eastAsia" w:ascii="宋体" w:hAnsi="宋体" w:eastAsia="宋体" w:cs="宋体"/>
              <w:b w:val="0"/>
              <w:bCs w:val="0"/>
            </w:rPr>
            <w:t>7</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7EAAB4A1">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_Toc21657 </w:instrText>
          </w:r>
          <w:r>
            <w:rPr>
              <w:rFonts w:hint="eastAsia" w:ascii="宋体" w:hAnsi="宋体" w:eastAsia="宋体" w:cs="宋体"/>
              <w:b w:val="0"/>
              <w:bCs w:val="0"/>
            </w:rPr>
            <w:fldChar w:fldCharType="separate"/>
          </w:r>
          <w:r>
            <w:rPr>
              <w:rFonts w:hint="eastAsia" w:ascii="宋体" w:hAnsi="宋体" w:eastAsia="宋体" w:cs="宋体"/>
              <w:b w:val="0"/>
              <w:bCs w:val="0"/>
              <w:kern w:val="0"/>
              <w:szCs w:val="20"/>
              <w:highlight w:val="none"/>
            </w:rPr>
            <w:t>5.2 扩展度及扩展度经时损失</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_Toc21657 \h </w:instrText>
          </w:r>
          <w:r>
            <w:rPr>
              <w:rFonts w:hint="eastAsia" w:ascii="宋体" w:hAnsi="宋体" w:eastAsia="宋体" w:cs="宋体"/>
              <w:b w:val="0"/>
              <w:bCs w:val="0"/>
            </w:rPr>
            <w:fldChar w:fldCharType="separate"/>
          </w:r>
          <w:r>
            <w:rPr>
              <w:rFonts w:hint="eastAsia" w:ascii="宋体" w:hAnsi="宋体" w:eastAsia="宋体" w:cs="宋体"/>
              <w:b w:val="0"/>
              <w:bCs w:val="0"/>
            </w:rPr>
            <w:t>8</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5A80FF10">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_Toc17278 </w:instrText>
          </w:r>
          <w:r>
            <w:rPr>
              <w:rFonts w:hint="eastAsia" w:ascii="宋体" w:hAnsi="宋体" w:eastAsia="宋体" w:cs="宋体"/>
              <w:b w:val="0"/>
              <w:bCs w:val="0"/>
            </w:rPr>
            <w:fldChar w:fldCharType="separate"/>
          </w:r>
          <w:r>
            <w:rPr>
              <w:rFonts w:hint="eastAsia" w:ascii="宋体" w:hAnsi="宋体" w:eastAsia="宋体" w:cs="宋体"/>
              <w:b w:val="0"/>
              <w:bCs w:val="0"/>
              <w:kern w:val="0"/>
              <w:szCs w:val="20"/>
              <w:highlight w:val="none"/>
            </w:rPr>
            <w:t>5.3 扩展时间试验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_Toc17278 \h </w:instrText>
          </w:r>
          <w:r>
            <w:rPr>
              <w:rFonts w:hint="eastAsia" w:ascii="宋体" w:hAnsi="宋体" w:eastAsia="宋体" w:cs="宋体"/>
              <w:b w:val="0"/>
              <w:bCs w:val="0"/>
            </w:rPr>
            <w:fldChar w:fldCharType="separate"/>
          </w:r>
          <w:r>
            <w:rPr>
              <w:rFonts w:hint="eastAsia" w:ascii="宋体" w:hAnsi="宋体" w:eastAsia="宋体" w:cs="宋体"/>
              <w:b w:val="0"/>
              <w:bCs w:val="0"/>
            </w:rPr>
            <w:t>9</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00E3621">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_Toc22392 </w:instrText>
          </w:r>
          <w:r>
            <w:rPr>
              <w:rFonts w:hint="eastAsia" w:ascii="宋体" w:hAnsi="宋体" w:eastAsia="宋体" w:cs="宋体"/>
              <w:b w:val="0"/>
              <w:bCs w:val="0"/>
            </w:rPr>
            <w:fldChar w:fldCharType="separate"/>
          </w:r>
          <w:r>
            <w:rPr>
              <w:rFonts w:hint="eastAsia" w:ascii="宋体" w:hAnsi="宋体" w:eastAsia="宋体" w:cs="宋体"/>
              <w:b w:val="0"/>
              <w:bCs w:val="0"/>
              <w:kern w:val="0"/>
              <w:szCs w:val="20"/>
              <w:highlight w:val="none"/>
            </w:rPr>
            <w:t>5.4 凝结时间</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_Toc22392 \h </w:instrText>
          </w:r>
          <w:r>
            <w:rPr>
              <w:rFonts w:hint="eastAsia" w:ascii="宋体" w:hAnsi="宋体" w:eastAsia="宋体" w:cs="宋体"/>
              <w:b w:val="0"/>
              <w:bCs w:val="0"/>
            </w:rPr>
            <w:fldChar w:fldCharType="separate"/>
          </w:r>
          <w:r>
            <w:rPr>
              <w:rFonts w:hint="eastAsia" w:ascii="宋体" w:hAnsi="宋体" w:eastAsia="宋体" w:cs="宋体"/>
              <w:b w:val="0"/>
              <w:bCs w:val="0"/>
            </w:rPr>
            <w:t>10</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1C7DB5AC">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_Toc18618 </w:instrText>
          </w:r>
          <w:r>
            <w:rPr>
              <w:rFonts w:hint="eastAsia" w:ascii="宋体" w:hAnsi="宋体" w:eastAsia="宋体" w:cs="宋体"/>
              <w:b w:val="0"/>
              <w:bCs w:val="0"/>
            </w:rPr>
            <w:fldChar w:fldCharType="separate"/>
          </w:r>
          <w:r>
            <w:rPr>
              <w:rFonts w:hint="eastAsia" w:ascii="宋体" w:hAnsi="宋体" w:eastAsia="宋体" w:cs="宋体"/>
              <w:b w:val="0"/>
              <w:bCs w:val="0"/>
              <w:kern w:val="0"/>
              <w:szCs w:val="20"/>
              <w:highlight w:val="none"/>
            </w:rPr>
            <w:t>5.5 表观密度</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_Toc18618 \h </w:instrText>
          </w:r>
          <w:r>
            <w:rPr>
              <w:rFonts w:hint="eastAsia" w:ascii="宋体" w:hAnsi="宋体" w:eastAsia="宋体" w:cs="宋体"/>
              <w:b w:val="0"/>
              <w:bCs w:val="0"/>
            </w:rPr>
            <w:fldChar w:fldCharType="separate"/>
          </w:r>
          <w:r>
            <w:rPr>
              <w:rFonts w:hint="eastAsia" w:ascii="宋体" w:hAnsi="宋体" w:eastAsia="宋体" w:cs="宋体"/>
              <w:b w:val="0"/>
              <w:bCs w:val="0"/>
            </w:rPr>
            <w:t>11</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BD47921">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_Toc16334 </w:instrText>
          </w:r>
          <w:r>
            <w:rPr>
              <w:rFonts w:hint="eastAsia" w:ascii="宋体" w:hAnsi="宋体" w:eastAsia="宋体" w:cs="宋体"/>
              <w:b w:val="0"/>
              <w:bCs w:val="0"/>
            </w:rPr>
            <w:fldChar w:fldCharType="separate"/>
          </w:r>
          <w:r>
            <w:rPr>
              <w:rFonts w:hint="eastAsia" w:ascii="宋体" w:hAnsi="宋体" w:eastAsia="宋体" w:cs="宋体"/>
              <w:b w:val="0"/>
              <w:bCs w:val="0"/>
              <w:kern w:val="0"/>
              <w:szCs w:val="20"/>
              <w:highlight w:val="none"/>
            </w:rPr>
            <w:t>5.6 含气量</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_Toc16334 \h </w:instrText>
          </w:r>
          <w:r>
            <w:rPr>
              <w:rFonts w:hint="eastAsia" w:ascii="宋体" w:hAnsi="宋体" w:eastAsia="宋体" w:cs="宋体"/>
              <w:b w:val="0"/>
              <w:bCs w:val="0"/>
            </w:rPr>
            <w:fldChar w:fldCharType="separate"/>
          </w:r>
          <w:r>
            <w:rPr>
              <w:rFonts w:hint="eastAsia" w:ascii="宋体" w:hAnsi="宋体" w:eastAsia="宋体" w:cs="宋体"/>
              <w:b w:val="0"/>
              <w:bCs w:val="0"/>
            </w:rPr>
            <w:t>12</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5AFA4C2A">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_Toc17076 </w:instrText>
          </w:r>
          <w:r>
            <w:rPr>
              <w:rFonts w:hint="eastAsia" w:ascii="宋体" w:hAnsi="宋体" w:eastAsia="宋体" w:cs="宋体"/>
              <w:b w:val="0"/>
              <w:bCs w:val="0"/>
            </w:rPr>
            <w:fldChar w:fldCharType="separate"/>
          </w:r>
          <w:r>
            <w:rPr>
              <w:rFonts w:hint="eastAsia" w:ascii="宋体" w:hAnsi="宋体" w:eastAsia="宋体" w:cs="宋体"/>
              <w:b w:val="0"/>
              <w:bCs w:val="0"/>
              <w:kern w:val="0"/>
              <w:szCs w:val="20"/>
              <w:highlight w:val="none"/>
            </w:rPr>
            <w:t>5.7 纤维体积率</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_Toc17076 \h </w:instrText>
          </w:r>
          <w:r>
            <w:rPr>
              <w:rFonts w:hint="eastAsia" w:ascii="宋体" w:hAnsi="宋体" w:eastAsia="宋体" w:cs="宋体"/>
              <w:b w:val="0"/>
              <w:bCs w:val="0"/>
            </w:rPr>
            <w:fldChar w:fldCharType="separate"/>
          </w:r>
          <w:r>
            <w:rPr>
              <w:rFonts w:hint="eastAsia" w:ascii="宋体" w:hAnsi="宋体" w:eastAsia="宋体" w:cs="宋体"/>
              <w:b w:val="0"/>
              <w:bCs w:val="0"/>
            </w:rPr>
            <w:t>14</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3D7DE499">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_Toc26513 </w:instrText>
          </w:r>
          <w:r>
            <w:rPr>
              <w:rFonts w:hint="eastAsia" w:ascii="宋体" w:hAnsi="宋体" w:eastAsia="宋体" w:cs="宋体"/>
              <w:b w:val="0"/>
              <w:bCs w:val="0"/>
            </w:rPr>
            <w:fldChar w:fldCharType="separate"/>
          </w:r>
          <w:r>
            <w:rPr>
              <w:rFonts w:hint="eastAsia" w:ascii="宋体" w:hAnsi="宋体" w:eastAsia="宋体" w:cs="宋体"/>
              <w:b w:val="0"/>
              <w:bCs w:val="0"/>
              <w:kern w:val="0"/>
              <w:szCs w:val="20"/>
              <w:highlight w:val="none"/>
            </w:rPr>
            <w:t>5.8 纤维分布均匀性</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_Toc26513 \h </w:instrText>
          </w:r>
          <w:r>
            <w:rPr>
              <w:rFonts w:hint="eastAsia" w:ascii="宋体" w:hAnsi="宋体" w:eastAsia="宋体" w:cs="宋体"/>
              <w:b w:val="0"/>
              <w:bCs w:val="0"/>
            </w:rPr>
            <w:fldChar w:fldCharType="separate"/>
          </w:r>
          <w:r>
            <w:rPr>
              <w:rFonts w:hint="eastAsia" w:ascii="宋体" w:hAnsi="宋体" w:eastAsia="宋体" w:cs="宋体"/>
              <w:b w:val="0"/>
              <w:bCs w:val="0"/>
            </w:rPr>
            <w:t>15</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1BA6AD66">
          <w:pPr>
            <w:pStyle w:val="17"/>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_Toc32384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 物理力学性能试验方法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_Toc32384 \h </w:instrText>
          </w:r>
          <w:r>
            <w:rPr>
              <w:rFonts w:hint="eastAsia" w:ascii="宋体" w:hAnsi="宋体" w:eastAsia="宋体" w:cs="宋体"/>
              <w:b w:val="0"/>
              <w:bCs w:val="0"/>
            </w:rPr>
            <w:fldChar w:fldCharType="separate"/>
          </w:r>
          <w:r>
            <w:rPr>
              <w:rFonts w:hint="eastAsia" w:ascii="宋体" w:hAnsi="宋体" w:eastAsia="宋体" w:cs="宋体"/>
              <w:b w:val="0"/>
              <w:bCs w:val="0"/>
            </w:rPr>
            <w:t>18</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7CFFECAE">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_Toc16014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6.1 抗压强度试验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_Toc16014 \h </w:instrText>
          </w:r>
          <w:r>
            <w:rPr>
              <w:rFonts w:hint="eastAsia" w:ascii="宋体" w:hAnsi="宋体" w:eastAsia="宋体" w:cs="宋体"/>
              <w:b w:val="0"/>
              <w:bCs w:val="0"/>
            </w:rPr>
            <w:fldChar w:fldCharType="separate"/>
          </w:r>
          <w:r>
            <w:rPr>
              <w:rFonts w:hint="eastAsia" w:ascii="宋体" w:hAnsi="宋体" w:eastAsia="宋体" w:cs="宋体"/>
              <w:b w:val="0"/>
              <w:bCs w:val="0"/>
            </w:rPr>
            <w:t>18</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B4797F8">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_Toc28543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6.2 轴心抗压强度试验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_Toc28543 \h </w:instrText>
          </w:r>
          <w:r>
            <w:rPr>
              <w:rFonts w:hint="eastAsia" w:ascii="宋体" w:hAnsi="宋体" w:eastAsia="宋体" w:cs="宋体"/>
              <w:b w:val="0"/>
              <w:bCs w:val="0"/>
            </w:rPr>
            <w:fldChar w:fldCharType="separate"/>
          </w:r>
          <w:r>
            <w:rPr>
              <w:rFonts w:hint="eastAsia" w:ascii="宋体" w:hAnsi="宋体" w:eastAsia="宋体" w:cs="宋体"/>
              <w:b w:val="0"/>
              <w:bCs w:val="0"/>
            </w:rPr>
            <w:t>20</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6FF8F708">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_Toc19018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6.3 静力受压弹性模量试验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_Toc19018 \h </w:instrText>
          </w:r>
          <w:r>
            <w:rPr>
              <w:rFonts w:hint="eastAsia" w:ascii="宋体" w:hAnsi="宋体" w:eastAsia="宋体" w:cs="宋体"/>
              <w:b w:val="0"/>
              <w:bCs w:val="0"/>
            </w:rPr>
            <w:fldChar w:fldCharType="separate"/>
          </w:r>
          <w:r>
            <w:rPr>
              <w:rFonts w:hint="eastAsia" w:ascii="宋体" w:hAnsi="宋体" w:eastAsia="宋体" w:cs="宋体"/>
              <w:b w:val="0"/>
              <w:bCs w:val="0"/>
            </w:rPr>
            <w:t>21</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7AA595A0">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_Toc28224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6.4 泊松比试验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_Toc28224 \h </w:instrText>
          </w:r>
          <w:r>
            <w:rPr>
              <w:rFonts w:hint="eastAsia" w:ascii="宋体" w:hAnsi="宋体" w:eastAsia="宋体" w:cs="宋体"/>
              <w:b w:val="0"/>
              <w:bCs w:val="0"/>
            </w:rPr>
            <w:fldChar w:fldCharType="separate"/>
          </w:r>
          <w:r>
            <w:rPr>
              <w:rFonts w:hint="eastAsia" w:ascii="宋体" w:hAnsi="宋体" w:eastAsia="宋体" w:cs="宋体"/>
              <w:b w:val="0"/>
              <w:bCs w:val="0"/>
            </w:rPr>
            <w:t>24</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53D35EC4">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_Toc11720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6.5 抗折强度与弯曲韧性试验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_Toc11720 \h </w:instrText>
          </w:r>
          <w:r>
            <w:rPr>
              <w:rFonts w:hint="eastAsia" w:ascii="宋体" w:hAnsi="宋体" w:eastAsia="宋体" w:cs="宋体"/>
              <w:b w:val="0"/>
              <w:bCs w:val="0"/>
            </w:rPr>
            <w:fldChar w:fldCharType="separate"/>
          </w:r>
          <w:r>
            <w:rPr>
              <w:rFonts w:hint="eastAsia" w:ascii="宋体" w:hAnsi="宋体" w:eastAsia="宋体" w:cs="宋体"/>
              <w:b w:val="0"/>
              <w:bCs w:val="0"/>
            </w:rPr>
            <w:t>27</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1FDC9C9C">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_Toc21411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6.6 抗拉性能试验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_Toc21411 \h </w:instrText>
          </w:r>
          <w:r>
            <w:rPr>
              <w:rFonts w:hint="eastAsia" w:ascii="宋体" w:hAnsi="宋体" w:eastAsia="宋体" w:cs="宋体"/>
              <w:b w:val="0"/>
              <w:bCs w:val="0"/>
            </w:rPr>
            <w:fldChar w:fldCharType="separate"/>
          </w:r>
          <w:r>
            <w:rPr>
              <w:rFonts w:hint="eastAsia" w:ascii="宋体" w:hAnsi="宋体" w:eastAsia="宋体" w:cs="宋体"/>
              <w:b w:val="0"/>
              <w:bCs w:val="0"/>
            </w:rPr>
            <w:t>32</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42E5B17">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_Toc16555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6.7 劈裂抗拉强度试验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_Toc16555 \h </w:instrText>
          </w:r>
          <w:r>
            <w:rPr>
              <w:rFonts w:hint="eastAsia" w:ascii="宋体" w:hAnsi="宋体" w:eastAsia="宋体" w:cs="宋体"/>
              <w:b w:val="0"/>
              <w:bCs w:val="0"/>
            </w:rPr>
            <w:fldChar w:fldCharType="separate"/>
          </w:r>
          <w:r>
            <w:rPr>
              <w:rFonts w:hint="eastAsia" w:ascii="宋体" w:hAnsi="宋体" w:eastAsia="宋体" w:cs="宋体"/>
              <w:b w:val="0"/>
              <w:bCs w:val="0"/>
            </w:rPr>
            <w:t>37</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5D06BD5D">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_Toc31225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6.8 粘结强度试验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_Toc31225 \h </w:instrText>
          </w:r>
          <w:r>
            <w:rPr>
              <w:rFonts w:hint="eastAsia" w:ascii="宋体" w:hAnsi="宋体" w:eastAsia="宋体" w:cs="宋体"/>
              <w:b w:val="0"/>
              <w:bCs w:val="0"/>
            </w:rPr>
            <w:fldChar w:fldCharType="separate"/>
          </w:r>
          <w:r>
            <w:rPr>
              <w:rFonts w:hint="eastAsia" w:ascii="宋体" w:hAnsi="宋体" w:eastAsia="宋体" w:cs="宋体"/>
              <w:b w:val="0"/>
              <w:bCs w:val="0"/>
            </w:rPr>
            <w:t>39</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3ADFA1B9">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_Toc14417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6.9 超高性能混凝土与钢筋的握裹强度试验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_Toc14417 \h </w:instrText>
          </w:r>
          <w:r>
            <w:rPr>
              <w:rFonts w:hint="eastAsia" w:ascii="宋体" w:hAnsi="宋体" w:eastAsia="宋体" w:cs="宋体"/>
              <w:b w:val="0"/>
              <w:bCs w:val="0"/>
            </w:rPr>
            <w:fldChar w:fldCharType="separate"/>
          </w:r>
          <w:r>
            <w:rPr>
              <w:rFonts w:hint="eastAsia" w:ascii="宋体" w:hAnsi="宋体" w:eastAsia="宋体" w:cs="宋体"/>
              <w:b w:val="0"/>
              <w:bCs w:val="0"/>
            </w:rPr>
            <w:t>40</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A13FD07">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_Toc15406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6.10 线膨胀系数试验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_Toc15406 \h </w:instrText>
          </w:r>
          <w:r>
            <w:rPr>
              <w:rFonts w:hint="eastAsia" w:ascii="宋体" w:hAnsi="宋体" w:eastAsia="宋体" w:cs="宋体"/>
              <w:b w:val="0"/>
              <w:bCs w:val="0"/>
            </w:rPr>
            <w:fldChar w:fldCharType="separate"/>
          </w:r>
          <w:r>
            <w:rPr>
              <w:rFonts w:hint="eastAsia" w:ascii="宋体" w:hAnsi="宋体" w:eastAsia="宋体" w:cs="宋体"/>
              <w:b w:val="0"/>
              <w:bCs w:val="0"/>
            </w:rPr>
            <w:t>43</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17F44C19">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_Toc15065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6.11 耐磨性试验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_Toc15065 \h </w:instrText>
          </w:r>
          <w:r>
            <w:rPr>
              <w:rFonts w:hint="eastAsia" w:ascii="宋体" w:hAnsi="宋体" w:eastAsia="宋体" w:cs="宋体"/>
              <w:b w:val="0"/>
              <w:bCs w:val="0"/>
            </w:rPr>
            <w:fldChar w:fldCharType="separate"/>
          </w:r>
          <w:r>
            <w:rPr>
              <w:rFonts w:hint="eastAsia" w:ascii="宋体" w:hAnsi="宋体" w:eastAsia="宋体" w:cs="宋体"/>
              <w:b w:val="0"/>
              <w:bCs w:val="0"/>
            </w:rPr>
            <w:t>46</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19E7EE49">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_Toc2885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6.12 硬化超高性能混凝土</w:t>
          </w:r>
          <w:r>
            <w:rPr>
              <w:rFonts w:hint="eastAsia" w:ascii="宋体" w:hAnsi="宋体" w:eastAsia="宋体" w:cs="宋体"/>
              <w:b w:val="0"/>
              <w:bCs w:val="0"/>
              <w:highlight w:val="none"/>
              <w:lang w:eastAsia="zh"/>
              <w:woUserID w:val="3"/>
            </w:rPr>
            <w:t>原样体积</w:t>
          </w:r>
          <w:r>
            <w:rPr>
              <w:rFonts w:hint="eastAsia" w:ascii="宋体" w:hAnsi="宋体" w:eastAsia="宋体" w:cs="宋体"/>
              <w:b w:val="0"/>
              <w:bCs w:val="0"/>
              <w:highlight w:val="none"/>
            </w:rPr>
            <w:t>密度试验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_Toc2885 \h </w:instrText>
          </w:r>
          <w:r>
            <w:rPr>
              <w:rFonts w:hint="eastAsia" w:ascii="宋体" w:hAnsi="宋体" w:eastAsia="宋体" w:cs="宋体"/>
              <w:b w:val="0"/>
              <w:bCs w:val="0"/>
            </w:rPr>
            <w:fldChar w:fldCharType="separate"/>
          </w:r>
          <w:r>
            <w:rPr>
              <w:rFonts w:hint="eastAsia" w:ascii="宋体" w:hAnsi="宋体" w:eastAsia="宋体" w:cs="宋体"/>
              <w:b w:val="0"/>
              <w:bCs w:val="0"/>
            </w:rPr>
            <w:t>48</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3413F20A">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_Toc13099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6.13 抗冲磨性试验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_Toc13099 \h </w:instrText>
          </w:r>
          <w:r>
            <w:rPr>
              <w:rFonts w:hint="eastAsia" w:ascii="宋体" w:hAnsi="宋体" w:eastAsia="宋体" w:cs="宋体"/>
              <w:b w:val="0"/>
              <w:bCs w:val="0"/>
            </w:rPr>
            <w:fldChar w:fldCharType="separate"/>
          </w:r>
          <w:r>
            <w:rPr>
              <w:rFonts w:hint="eastAsia" w:ascii="宋体" w:hAnsi="宋体" w:eastAsia="宋体" w:cs="宋体"/>
              <w:b w:val="0"/>
              <w:bCs w:val="0"/>
            </w:rPr>
            <w:t>50</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6EE0F119">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_Toc13482 </w:instrText>
          </w:r>
          <w:r>
            <w:rPr>
              <w:rFonts w:hint="eastAsia" w:ascii="宋体" w:hAnsi="宋体" w:eastAsia="宋体" w:cs="宋体"/>
              <w:b w:val="0"/>
              <w:bCs w:val="0"/>
            </w:rPr>
            <w:fldChar w:fldCharType="separate"/>
          </w:r>
          <w:r>
            <w:rPr>
              <w:rFonts w:hint="eastAsia" w:ascii="宋体" w:hAnsi="宋体" w:eastAsia="宋体" w:cs="宋体"/>
              <w:b w:val="0"/>
              <w:bCs w:val="0"/>
              <w:highlight w:val="none"/>
            </w:rPr>
            <w:t>6.14 动态压缩试验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_Toc13482 \h </w:instrText>
          </w:r>
          <w:r>
            <w:rPr>
              <w:rFonts w:hint="eastAsia" w:ascii="宋体" w:hAnsi="宋体" w:eastAsia="宋体" w:cs="宋体"/>
              <w:b w:val="0"/>
              <w:bCs w:val="0"/>
            </w:rPr>
            <w:fldChar w:fldCharType="separate"/>
          </w:r>
          <w:r>
            <w:rPr>
              <w:rFonts w:hint="eastAsia" w:ascii="宋体" w:hAnsi="宋体" w:eastAsia="宋体" w:cs="宋体"/>
              <w:b w:val="0"/>
              <w:bCs w:val="0"/>
            </w:rPr>
            <w:t>53</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1835C006">
          <w:pPr>
            <w:pStyle w:val="17"/>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_Toc13954 </w:instrText>
          </w:r>
          <w:r>
            <w:rPr>
              <w:rFonts w:hint="eastAsia" w:ascii="宋体" w:hAnsi="宋体" w:eastAsia="宋体" w:cs="宋体"/>
              <w:b w:val="0"/>
              <w:bCs w:val="0"/>
            </w:rPr>
            <w:fldChar w:fldCharType="separate"/>
          </w:r>
          <w:r>
            <w:rPr>
              <w:rFonts w:hint="eastAsia" w:ascii="宋体" w:hAnsi="宋体" w:eastAsia="宋体" w:cs="宋体"/>
              <w:b w:val="0"/>
              <w:bCs w:val="0"/>
              <w:highlight w:val="none"/>
              <w:lang w:val="en-US" w:eastAsia="zh-CN"/>
            </w:rPr>
            <w:t>7  长期性能和耐久性能试验方法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_Toc13954 \h </w:instrText>
          </w:r>
          <w:r>
            <w:rPr>
              <w:rFonts w:hint="eastAsia" w:ascii="宋体" w:hAnsi="宋体" w:eastAsia="宋体" w:cs="宋体"/>
              <w:b w:val="0"/>
              <w:bCs w:val="0"/>
            </w:rPr>
            <w:fldChar w:fldCharType="separate"/>
          </w:r>
          <w:r>
            <w:rPr>
              <w:rFonts w:hint="eastAsia" w:ascii="宋体" w:hAnsi="宋体" w:eastAsia="宋体" w:cs="宋体"/>
              <w:b w:val="0"/>
              <w:bCs w:val="0"/>
            </w:rPr>
            <w:t>65</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1656A4CD">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_Toc2093 </w:instrText>
          </w:r>
          <w:r>
            <w:rPr>
              <w:rFonts w:hint="eastAsia" w:ascii="宋体" w:hAnsi="宋体" w:eastAsia="宋体" w:cs="宋体"/>
              <w:b w:val="0"/>
              <w:bCs w:val="0"/>
            </w:rPr>
            <w:fldChar w:fldCharType="separate"/>
          </w:r>
          <w:r>
            <w:rPr>
              <w:rFonts w:hint="eastAsia" w:ascii="宋体" w:hAnsi="宋体" w:eastAsia="宋体" w:cs="宋体"/>
              <w:b w:val="0"/>
              <w:bCs w:val="0"/>
              <w:kern w:val="2"/>
              <w:szCs w:val="21"/>
              <w:highlight w:val="none"/>
              <w:lang w:val="en-US" w:eastAsia="zh-CN" w:bidi="ar-SA"/>
            </w:rPr>
            <w:t>7.1  非接触法</w:t>
          </w:r>
          <w:r>
            <w:rPr>
              <w:rFonts w:hint="eastAsia" w:ascii="宋体" w:hAnsi="宋体" w:eastAsia="宋体" w:cs="宋体"/>
              <w:b w:val="0"/>
              <w:bCs w:val="0"/>
              <w:i w:val="0"/>
              <w:iCs w:val="0"/>
              <w:szCs w:val="21"/>
              <w:highlight w:val="none"/>
              <w:lang w:val="en-US" w:eastAsia="zh-CN" w:bidi="ar-SA"/>
            </w:rPr>
            <w:t>早期自收缩试验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_Toc2093 \h </w:instrText>
          </w:r>
          <w:r>
            <w:rPr>
              <w:rFonts w:hint="eastAsia" w:ascii="宋体" w:hAnsi="宋体" w:eastAsia="宋体" w:cs="宋体"/>
              <w:b w:val="0"/>
              <w:bCs w:val="0"/>
            </w:rPr>
            <w:fldChar w:fldCharType="separate"/>
          </w:r>
          <w:r>
            <w:rPr>
              <w:rFonts w:hint="eastAsia" w:ascii="宋体" w:hAnsi="宋体" w:eastAsia="宋体" w:cs="宋体"/>
              <w:b w:val="0"/>
              <w:bCs w:val="0"/>
            </w:rPr>
            <w:t>65</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2B5F6D2C">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_Toc3847 </w:instrText>
          </w:r>
          <w:r>
            <w:rPr>
              <w:rFonts w:hint="eastAsia" w:ascii="宋体" w:hAnsi="宋体" w:eastAsia="宋体" w:cs="宋体"/>
              <w:b w:val="0"/>
              <w:bCs w:val="0"/>
            </w:rPr>
            <w:fldChar w:fldCharType="separate"/>
          </w:r>
          <w:r>
            <w:rPr>
              <w:rFonts w:hint="eastAsia" w:ascii="宋体" w:hAnsi="宋体" w:eastAsia="宋体" w:cs="宋体"/>
              <w:b w:val="0"/>
              <w:bCs w:val="0"/>
              <w:kern w:val="2"/>
              <w:szCs w:val="21"/>
              <w:highlight w:val="none"/>
              <w:lang w:val="en-US" w:eastAsia="zh-CN" w:bidi="ar-SA"/>
            </w:rPr>
            <w:t>7.2  波纹管法</w:t>
          </w:r>
          <w:r>
            <w:rPr>
              <w:rFonts w:hint="eastAsia" w:ascii="宋体" w:hAnsi="宋体" w:eastAsia="宋体" w:cs="宋体"/>
              <w:b w:val="0"/>
              <w:bCs w:val="0"/>
              <w:i w:val="0"/>
              <w:iCs w:val="0"/>
              <w:szCs w:val="21"/>
              <w:highlight w:val="none"/>
              <w:lang w:val="en-US" w:eastAsia="zh-CN" w:bidi="ar-SA"/>
            </w:rPr>
            <w:t>早期自收缩试验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_Toc3847 \h </w:instrText>
          </w:r>
          <w:r>
            <w:rPr>
              <w:rFonts w:hint="eastAsia" w:ascii="宋体" w:hAnsi="宋体" w:eastAsia="宋体" w:cs="宋体"/>
              <w:b w:val="0"/>
              <w:bCs w:val="0"/>
            </w:rPr>
            <w:fldChar w:fldCharType="separate"/>
          </w:r>
          <w:r>
            <w:rPr>
              <w:rFonts w:hint="eastAsia" w:ascii="宋体" w:hAnsi="宋体" w:eastAsia="宋体" w:cs="宋体"/>
              <w:b w:val="0"/>
              <w:bCs w:val="0"/>
            </w:rPr>
            <w:t>67</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287897A9">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_Toc17047 </w:instrText>
          </w:r>
          <w:r>
            <w:rPr>
              <w:rFonts w:hint="eastAsia" w:ascii="宋体" w:hAnsi="宋体" w:eastAsia="宋体" w:cs="宋体"/>
              <w:b w:val="0"/>
              <w:bCs w:val="0"/>
            </w:rPr>
            <w:fldChar w:fldCharType="separate"/>
          </w:r>
          <w:r>
            <w:rPr>
              <w:rFonts w:hint="eastAsia" w:ascii="宋体" w:hAnsi="宋体" w:eastAsia="宋体" w:cs="宋体"/>
              <w:b w:val="0"/>
              <w:bCs w:val="0"/>
              <w:kern w:val="2"/>
              <w:szCs w:val="21"/>
              <w:highlight w:val="none"/>
              <w:lang w:val="en-US" w:eastAsia="zh-CN" w:bidi="ar-SA"/>
            </w:rPr>
            <w:t xml:space="preserve">7.3  </w:t>
          </w:r>
          <w:r>
            <w:rPr>
              <w:rFonts w:hint="eastAsia" w:ascii="宋体" w:hAnsi="宋体" w:eastAsia="宋体" w:cs="宋体"/>
              <w:b w:val="0"/>
              <w:bCs w:val="0"/>
              <w:szCs w:val="21"/>
              <w:highlight w:val="none"/>
              <w:lang w:val="en-US" w:eastAsia="zh-CN" w:bidi="ar-SA"/>
            </w:rPr>
            <w:t>接</w:t>
          </w:r>
          <w:r>
            <w:rPr>
              <w:rFonts w:hint="eastAsia" w:ascii="宋体" w:hAnsi="宋体" w:eastAsia="宋体" w:cs="宋体"/>
              <w:b w:val="0"/>
              <w:bCs w:val="0"/>
              <w:kern w:val="2"/>
              <w:szCs w:val="21"/>
              <w:highlight w:val="none"/>
              <w:lang w:val="en-US" w:eastAsia="zh-CN" w:bidi="ar-SA"/>
            </w:rPr>
            <w:t>触法干燥收缩试验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_Toc17047 \h </w:instrText>
          </w:r>
          <w:r>
            <w:rPr>
              <w:rFonts w:hint="eastAsia" w:ascii="宋体" w:hAnsi="宋体" w:eastAsia="宋体" w:cs="宋体"/>
              <w:b w:val="0"/>
              <w:bCs w:val="0"/>
            </w:rPr>
            <w:fldChar w:fldCharType="separate"/>
          </w:r>
          <w:r>
            <w:rPr>
              <w:rFonts w:hint="eastAsia" w:ascii="宋体" w:hAnsi="宋体" w:eastAsia="宋体" w:cs="宋体"/>
              <w:b w:val="0"/>
              <w:bCs w:val="0"/>
            </w:rPr>
            <w:t>69</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36A34EC0">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_Toc23675 </w:instrText>
          </w:r>
          <w:r>
            <w:rPr>
              <w:rFonts w:hint="eastAsia" w:ascii="宋体" w:hAnsi="宋体" w:eastAsia="宋体" w:cs="宋体"/>
              <w:b w:val="0"/>
              <w:bCs w:val="0"/>
            </w:rPr>
            <w:fldChar w:fldCharType="separate"/>
          </w:r>
          <w:r>
            <w:rPr>
              <w:rFonts w:hint="eastAsia" w:ascii="宋体" w:hAnsi="宋体" w:eastAsia="宋体" w:cs="宋体"/>
              <w:b w:val="0"/>
              <w:bCs w:val="0"/>
              <w:szCs w:val="21"/>
              <w:highlight w:val="none"/>
              <w:lang w:val="en-US" w:eastAsia="zh-CN" w:bidi="ar-SA"/>
            </w:rPr>
            <w:t>7.4 受压徐变试验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_Toc23675 \h </w:instrText>
          </w:r>
          <w:r>
            <w:rPr>
              <w:rFonts w:hint="eastAsia" w:ascii="宋体" w:hAnsi="宋体" w:eastAsia="宋体" w:cs="宋体"/>
              <w:b w:val="0"/>
              <w:bCs w:val="0"/>
            </w:rPr>
            <w:fldChar w:fldCharType="separate"/>
          </w:r>
          <w:r>
            <w:rPr>
              <w:rFonts w:hint="eastAsia" w:ascii="宋体" w:hAnsi="宋体" w:eastAsia="宋体" w:cs="宋体"/>
              <w:b w:val="0"/>
              <w:bCs w:val="0"/>
            </w:rPr>
            <w:t>73</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28680C7F">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_Toc2625 </w:instrText>
          </w:r>
          <w:r>
            <w:rPr>
              <w:rFonts w:hint="eastAsia" w:ascii="宋体" w:hAnsi="宋体" w:eastAsia="宋体" w:cs="宋体"/>
              <w:b w:val="0"/>
              <w:bCs w:val="0"/>
            </w:rPr>
            <w:fldChar w:fldCharType="separate"/>
          </w:r>
          <w:r>
            <w:rPr>
              <w:rFonts w:hint="eastAsia" w:ascii="宋体" w:hAnsi="宋体" w:eastAsia="宋体" w:cs="宋体"/>
              <w:b w:val="0"/>
              <w:bCs w:val="0"/>
              <w:szCs w:val="21"/>
              <w:highlight w:val="none"/>
              <w:lang w:val="en-US" w:eastAsia="zh-CN" w:bidi="ar-SA"/>
            </w:rPr>
            <w:t>7.5 快速氯离子迁移系数法（RCM法）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_Toc2625 \h </w:instrText>
          </w:r>
          <w:r>
            <w:rPr>
              <w:rFonts w:hint="eastAsia" w:ascii="宋体" w:hAnsi="宋体" w:eastAsia="宋体" w:cs="宋体"/>
              <w:b w:val="0"/>
              <w:bCs w:val="0"/>
            </w:rPr>
            <w:fldChar w:fldCharType="separate"/>
          </w:r>
          <w:r>
            <w:rPr>
              <w:rFonts w:hint="eastAsia" w:ascii="宋体" w:hAnsi="宋体" w:eastAsia="宋体" w:cs="宋体"/>
              <w:b w:val="0"/>
              <w:bCs w:val="0"/>
            </w:rPr>
            <w:t>77</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6957C77">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_Toc776 </w:instrText>
          </w:r>
          <w:r>
            <w:rPr>
              <w:rFonts w:hint="eastAsia" w:ascii="宋体" w:hAnsi="宋体" w:eastAsia="宋体" w:cs="宋体"/>
              <w:b w:val="0"/>
              <w:bCs w:val="0"/>
            </w:rPr>
            <w:fldChar w:fldCharType="separate"/>
          </w:r>
          <w:r>
            <w:rPr>
              <w:rFonts w:hint="eastAsia" w:ascii="宋体" w:hAnsi="宋体" w:eastAsia="宋体" w:cs="宋体"/>
              <w:b w:val="0"/>
              <w:bCs w:val="0"/>
              <w:szCs w:val="21"/>
              <w:highlight w:val="none"/>
              <w:lang w:val="en-US" w:eastAsia="zh-CN" w:bidi="ar-SA"/>
            </w:rPr>
            <w:t>7.6 抗气体渗透性能试验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_Toc776 \h </w:instrText>
          </w:r>
          <w:r>
            <w:rPr>
              <w:rFonts w:hint="eastAsia" w:ascii="宋体" w:hAnsi="宋体" w:eastAsia="宋体" w:cs="宋体"/>
              <w:b w:val="0"/>
              <w:bCs w:val="0"/>
            </w:rPr>
            <w:fldChar w:fldCharType="separate"/>
          </w:r>
          <w:r>
            <w:rPr>
              <w:rFonts w:hint="eastAsia" w:ascii="宋体" w:hAnsi="宋体" w:eastAsia="宋体" w:cs="宋体"/>
              <w:b w:val="0"/>
              <w:bCs w:val="0"/>
            </w:rPr>
            <w:t>81</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1ADE492">
          <w:pPr>
            <w:pStyle w:val="16"/>
            <w:tabs>
              <w:tab w:val="right" w:leader="dot" w:pos="935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_Toc29977 </w:instrText>
          </w:r>
          <w:r>
            <w:rPr>
              <w:rFonts w:hint="eastAsia" w:ascii="宋体" w:hAnsi="宋体" w:eastAsia="宋体" w:cs="宋体"/>
              <w:b w:val="0"/>
              <w:bCs w:val="0"/>
            </w:rPr>
            <w:fldChar w:fldCharType="separate"/>
          </w:r>
          <w:r>
            <w:rPr>
              <w:rFonts w:hint="eastAsia" w:ascii="宋体" w:hAnsi="宋体" w:eastAsia="宋体" w:cs="宋体"/>
              <w:b w:val="0"/>
              <w:bCs w:val="0"/>
              <w:szCs w:val="21"/>
              <w:highlight w:val="none"/>
              <w:lang w:val="en-US" w:eastAsia="zh-CN" w:bidi="ar-SA"/>
            </w:rPr>
            <w:t>7.7 毛细吸水速率试验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_Toc29977 \h </w:instrText>
          </w:r>
          <w:r>
            <w:rPr>
              <w:rFonts w:hint="eastAsia" w:ascii="宋体" w:hAnsi="宋体" w:eastAsia="宋体" w:cs="宋体"/>
              <w:b w:val="0"/>
              <w:bCs w:val="0"/>
            </w:rPr>
            <w:fldChar w:fldCharType="separate"/>
          </w:r>
          <w:r>
            <w:rPr>
              <w:rFonts w:hint="eastAsia" w:ascii="宋体" w:hAnsi="宋体" w:eastAsia="宋体" w:cs="宋体"/>
              <w:b w:val="0"/>
              <w:bCs w:val="0"/>
            </w:rPr>
            <w:t>84</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1139F4EF">
          <w:pPr>
            <w:pStyle w:val="17"/>
            <w:tabs>
              <w:tab w:val="right" w:leader="dot" w:pos="9355"/>
            </w:tabs>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_Toc8616 </w:instrText>
          </w:r>
          <w:r>
            <w:rPr>
              <w:rFonts w:hint="eastAsia" w:ascii="宋体" w:hAnsi="宋体" w:eastAsia="宋体" w:cs="宋体"/>
              <w:b w:val="0"/>
              <w:bCs w:val="0"/>
            </w:rPr>
            <w:fldChar w:fldCharType="separate"/>
          </w:r>
          <w:r>
            <w:rPr>
              <w:rFonts w:hint="eastAsia" w:ascii="宋体" w:hAnsi="宋体" w:eastAsia="宋体" w:cs="宋体"/>
              <w:b w:val="0"/>
              <w:bCs w:val="0"/>
              <w:szCs w:val="21"/>
              <w:highlight w:val="none"/>
            </w:rPr>
            <w:t>附录</w:t>
          </w:r>
          <w:r>
            <w:rPr>
              <w:rFonts w:hint="eastAsia" w:ascii="宋体" w:hAnsi="宋体" w:eastAsia="宋体" w:cs="宋体"/>
              <w:b w:val="0"/>
              <w:bCs w:val="0"/>
              <w:szCs w:val="21"/>
              <w:highlight w:val="none"/>
              <w:lang w:val="en-US" w:eastAsia="zh-CN"/>
            </w:rPr>
            <w:t>A</w:t>
          </w:r>
          <w:r>
            <w:rPr>
              <w:rFonts w:hint="eastAsia" w:ascii="宋体" w:hAnsi="宋体" w:eastAsia="宋体" w:cs="宋体"/>
              <w:b w:val="0"/>
              <w:bCs w:val="0"/>
              <w:szCs w:val="21"/>
              <w:highlight w:val="none"/>
            </w:rPr>
            <w:t>（资料性附录） 超高性能混凝土动态压缩试验</w:t>
          </w:r>
          <w:r>
            <w:rPr>
              <w:rFonts w:hint="eastAsia" w:ascii="宋体" w:hAnsi="宋体" w:eastAsia="宋体" w:cs="宋体"/>
              <w:b w:val="0"/>
              <w:bCs w:val="0"/>
              <w:szCs w:val="21"/>
              <w:highlight w:val="none"/>
              <w:lang w:val="en-US" w:eastAsia="zh-CN"/>
            </w:rPr>
            <w:t>示例</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_Toc8616 \h </w:instrText>
          </w:r>
          <w:r>
            <w:rPr>
              <w:rFonts w:hint="eastAsia" w:ascii="宋体" w:hAnsi="宋体" w:eastAsia="宋体" w:cs="宋体"/>
              <w:b w:val="0"/>
              <w:bCs w:val="0"/>
            </w:rPr>
            <w:fldChar w:fldCharType="separate"/>
          </w:r>
          <w:r>
            <w:rPr>
              <w:rFonts w:hint="eastAsia" w:ascii="宋体" w:hAnsi="宋体" w:eastAsia="宋体" w:cs="宋体"/>
              <w:b w:val="0"/>
              <w:bCs w:val="0"/>
            </w:rPr>
            <w:t>89</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DF3E9A9">
          <w:r>
            <w:fldChar w:fldCharType="end"/>
          </w:r>
        </w:p>
      </w:sdtContent>
    </w:sdt>
    <w:p w14:paraId="01B2522F">
      <w:pPr>
        <w:pStyle w:val="92"/>
        <w:keepNext/>
        <w:pageBreakBefore/>
        <w:kinsoku/>
        <w:overflowPunct/>
        <w:bidi w:val="0"/>
        <w:spacing w:line="360" w:lineRule="auto"/>
        <w:outlineLvl w:val="9"/>
        <w:rPr>
          <w:color w:val="auto"/>
          <w:highlight w:val="none"/>
        </w:rPr>
        <w:sectPr>
          <w:footerReference r:id="rId8" w:type="default"/>
          <w:pgSz w:w="11907" w:h="16839"/>
          <w:pgMar w:top="1418" w:right="1134" w:bottom="1134" w:left="1418" w:header="1418" w:footer="851" w:gutter="0"/>
          <w:pgNumType w:fmt="upperRoman"/>
          <w:cols w:space="425" w:num="1"/>
          <w:docGrid w:type="lines" w:linePitch="312" w:charSpace="0"/>
        </w:sectPr>
      </w:pPr>
    </w:p>
    <w:p w14:paraId="3F9A12B3">
      <w:pPr>
        <w:pStyle w:val="92"/>
        <w:keepNext/>
        <w:pageBreakBefore/>
        <w:kinsoku/>
        <w:overflowPunct/>
        <w:bidi w:val="0"/>
        <w:spacing w:line="360" w:lineRule="auto"/>
        <w:outlineLvl w:val="9"/>
        <w:rPr>
          <w:color w:val="auto"/>
          <w:highlight w:val="none"/>
        </w:rPr>
      </w:pPr>
      <w:r>
        <w:rPr>
          <w:color w:val="auto"/>
          <w:highlight w:val="none"/>
        </w:rPr>
        <w:t>超高性能混凝土试验方法</w:t>
      </w:r>
    </w:p>
    <w:p w14:paraId="14CC26C2">
      <w:pPr>
        <w:pStyle w:val="64"/>
        <w:kinsoku/>
        <w:overflowPunct/>
        <w:bidi w:val="0"/>
        <w:spacing w:before="312" w:beforeLines="100" w:after="312" w:afterLines="100" w:line="360" w:lineRule="auto"/>
        <w:outlineLvl w:val="0"/>
        <w:rPr>
          <w:color w:val="auto"/>
          <w:highlight w:val="none"/>
        </w:rPr>
      </w:pPr>
      <w:bookmarkStart w:id="4" w:name="_Toc15137"/>
      <w:r>
        <w:rPr>
          <w:color w:val="auto"/>
          <w:highlight w:val="none"/>
        </w:rPr>
        <w:t>1  范围</w:t>
      </w:r>
      <w:bookmarkEnd w:id="4"/>
    </w:p>
    <w:p w14:paraId="76F7B01F">
      <w:pPr>
        <w:pStyle w:val="53"/>
        <w:kinsoku/>
        <w:overflowPunct/>
        <w:bidi w:val="0"/>
        <w:spacing w:line="360" w:lineRule="auto"/>
        <w:rPr>
          <w:color w:val="auto"/>
          <w:highlight w:val="none"/>
        </w:rPr>
      </w:pPr>
      <w:r>
        <w:rPr>
          <w:color w:val="auto"/>
          <w:highlight w:val="none"/>
        </w:rPr>
        <w:t>本标准规定了超高性能混凝土的</w:t>
      </w:r>
      <w:r>
        <w:rPr>
          <w:rFonts w:hint="eastAsia"/>
          <w:color w:val="auto"/>
          <w:highlight w:val="none"/>
        </w:rPr>
        <w:t>取样与试件制备</w:t>
      </w:r>
      <w:r>
        <w:rPr>
          <w:color w:val="auto"/>
          <w:highlight w:val="none"/>
        </w:rPr>
        <w:t>、</w:t>
      </w:r>
      <w:r>
        <w:rPr>
          <w:rFonts w:hint="eastAsia"/>
          <w:color w:val="auto"/>
          <w:highlight w:val="none"/>
        </w:rPr>
        <w:t>拌合物性能试验方法</w:t>
      </w:r>
      <w:r>
        <w:rPr>
          <w:color w:val="auto"/>
          <w:highlight w:val="none"/>
        </w:rPr>
        <w:t>、</w:t>
      </w:r>
      <w:r>
        <w:rPr>
          <w:rFonts w:hint="eastAsia"/>
          <w:color w:val="auto"/>
          <w:highlight w:val="none"/>
        </w:rPr>
        <w:t>物理力学性能试验方法、长期性能与耐久性能试验方法</w:t>
      </w:r>
      <w:r>
        <w:rPr>
          <w:color w:val="auto"/>
          <w:highlight w:val="none"/>
        </w:rPr>
        <w:t>。</w:t>
      </w:r>
    </w:p>
    <w:p w14:paraId="172C98B0">
      <w:pPr>
        <w:pStyle w:val="53"/>
        <w:kinsoku/>
        <w:overflowPunct/>
        <w:bidi w:val="0"/>
        <w:spacing w:line="360" w:lineRule="auto"/>
        <w:rPr>
          <w:color w:val="auto"/>
          <w:highlight w:val="none"/>
        </w:rPr>
      </w:pPr>
      <w:r>
        <w:rPr>
          <w:color w:val="auto"/>
          <w:highlight w:val="none"/>
        </w:rPr>
        <w:t>本标准适用于现场浇筑或工厂化预制的超高性能混凝土的</w:t>
      </w:r>
      <w:r>
        <w:rPr>
          <w:rFonts w:hint="eastAsia"/>
          <w:color w:val="auto"/>
          <w:highlight w:val="none"/>
        </w:rPr>
        <w:t>性能试验</w:t>
      </w:r>
      <w:r>
        <w:rPr>
          <w:color w:val="auto"/>
          <w:highlight w:val="none"/>
        </w:rPr>
        <w:t>。</w:t>
      </w:r>
    </w:p>
    <w:p w14:paraId="24EA627E">
      <w:pPr>
        <w:pStyle w:val="64"/>
        <w:kinsoku/>
        <w:overflowPunct/>
        <w:bidi w:val="0"/>
        <w:spacing w:before="312" w:beforeLines="100" w:after="312" w:afterLines="100" w:line="360" w:lineRule="auto"/>
        <w:outlineLvl w:val="0"/>
        <w:rPr>
          <w:color w:val="auto"/>
          <w:highlight w:val="none"/>
        </w:rPr>
      </w:pPr>
      <w:bookmarkStart w:id="5" w:name="_Toc21949"/>
      <w:r>
        <w:rPr>
          <w:color w:val="auto"/>
          <w:highlight w:val="none"/>
        </w:rPr>
        <w:t>2  规范性引用文件</w:t>
      </w:r>
      <w:bookmarkEnd w:id="5"/>
    </w:p>
    <w:p w14:paraId="4ED14B59">
      <w:pPr>
        <w:pStyle w:val="53"/>
        <w:kinsoku/>
        <w:overflowPunct/>
        <w:bidi w:val="0"/>
        <w:spacing w:line="360" w:lineRule="auto"/>
        <w:rPr>
          <w:color w:val="auto"/>
          <w:highlight w:val="none"/>
        </w:rPr>
      </w:pPr>
      <w:r>
        <w:rPr>
          <w:color w:val="auto"/>
          <w:highlight w:val="none"/>
        </w:rPr>
        <w:t>下列文件中的内容通过文中的规范性引用而构成本文件必不可少的条款。其中，注日期的引用文件，仅该日期对应的版本适用于本文件；不注日期的引用文件，其最新版本 (包括所有的修改单) 适用于本文件。</w:t>
      </w:r>
    </w:p>
    <w:p w14:paraId="52B51105">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 1499.1    钢筋混凝土用钢 第1部分：热轧光圆钢筋</w:t>
      </w:r>
    </w:p>
    <w:p w14:paraId="4C141F39">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 1499.2    钢筋混凝土用钢第2部分：热轧带肋钢筋</w:t>
      </w:r>
    </w:p>
    <w:p w14:paraId="10A9691B">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2611    试验机通用技术要求</w:t>
      </w:r>
    </w:p>
    <w:p w14:paraId="2187A99A">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lang w:val="en-US" w:eastAsia="zh-CN" w:bidi="ar"/>
          <w:woUserID w:val="0"/>
        </w:rPr>
      </w:pPr>
      <w:r>
        <w:rPr>
          <w:rFonts w:hint="default" w:ascii="Times New Roman" w:hAnsi="Times New Roman" w:eastAsia="宋体" w:cs="Times New Roman"/>
          <w:color w:val="auto"/>
          <w:kern w:val="2"/>
          <w:sz w:val="21"/>
          <w:szCs w:val="24"/>
          <w:highlight w:val="none"/>
          <w:lang w:val="en-US" w:eastAsia="zh-CN" w:bidi="ar"/>
          <w:woUserID w:val="0"/>
        </w:rPr>
        <w:t>GB/T 3159    液压式万能试验机</w:t>
      </w:r>
    </w:p>
    <w:p w14:paraId="3EAEECBC">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lang w:val="en-US" w:eastAsia="zh-CN" w:bidi="ar"/>
          <w:woUserID w:val="0"/>
        </w:rPr>
      </w:pPr>
      <w:r>
        <w:rPr>
          <w:rFonts w:ascii="Times New Roman"/>
          <w:color w:val="auto"/>
          <w:highlight w:val="none"/>
          <w:lang w:bidi="ar"/>
        </w:rPr>
        <w:t>GB 5099</w:t>
      </w:r>
      <w:r>
        <w:rPr>
          <w:rFonts w:hint="default" w:ascii="Times New Roman"/>
          <w:color w:val="auto"/>
          <w:highlight w:val="none"/>
          <w:lang w:bidi="ar"/>
        </w:rPr>
        <w:t>.</w:t>
      </w:r>
      <w:r>
        <w:rPr>
          <w:rFonts w:ascii="Times New Roman"/>
          <w:color w:val="auto"/>
          <w:highlight w:val="none"/>
          <w:lang w:bidi="ar"/>
        </w:rPr>
        <w:t>4</w:t>
      </w:r>
      <w:r>
        <w:rPr>
          <w:rFonts w:hint="default"/>
          <w:color w:val="auto"/>
          <w:highlight w:val="none"/>
          <w:lang w:val="en-US" w:eastAsia="zh-CN" w:bidi="ar"/>
        </w:rPr>
        <w:t xml:space="preserve">  钢质无缝气瓶 第4部分：不锈钢无缝气瓶</w:t>
      </w:r>
    </w:p>
    <w:p w14:paraId="1A977A77">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 5749     生活饮用水卫生标准</w:t>
      </w:r>
    </w:p>
    <w:p w14:paraId="39A96955">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6003.2  试验筛 技术要求和检验 第2部分：金属穿孔板试验筛</w:t>
      </w:r>
    </w:p>
    <w:p w14:paraId="4E4C12F9">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8170   数值修约规则与极限数值的表示和判定</w:t>
      </w:r>
    </w:p>
    <w:p w14:paraId="7A15C460">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9846   普通胶合板</w:t>
      </w:r>
    </w:p>
    <w:p w14:paraId="54159258">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12626  湿法硬质纤维板</w:t>
      </w:r>
    </w:p>
    <w:p w14:paraId="28A2884F">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21389  游标、带表和数显卡尺</w:t>
      </w:r>
    </w:p>
    <w:p w14:paraId="0B01BC43">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22773  机械秒表</w:t>
      </w:r>
    </w:p>
    <w:p w14:paraId="50D6BF07">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22778  液晶数字式石英秒表</w:t>
      </w:r>
    </w:p>
    <w:p w14:paraId="324028B4">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22864  毛巾</w:t>
      </w:r>
    </w:p>
    <w:p w14:paraId="25A6F9DE">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26497  电子天平</w:t>
      </w:r>
    </w:p>
    <w:p w14:paraId="4182A82C">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30435  电热干燥箱及电热鼓风干燥箱</w:t>
      </w:r>
    </w:p>
    <w:p w14:paraId="70E977A6">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31387  活性粉末混凝土</w:t>
      </w:r>
    </w:p>
    <w:p w14:paraId="2BEAF1A2">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50080  普通混凝土拌合物性能试验方法标准</w:t>
      </w:r>
    </w:p>
    <w:p w14:paraId="464762DE">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50081  混凝土物理力学性能试验方法标准</w:t>
      </w:r>
    </w:p>
    <w:p w14:paraId="47949400">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50082  普通混凝土长期性能和耐久性能试验方法标准</w:t>
      </w:r>
    </w:p>
    <w:p w14:paraId="5D8CD70A">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GB/T 50728  工程结构加固材料应用安全性鉴定规范</w:t>
      </w:r>
    </w:p>
    <w:p w14:paraId="3632AA87">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BB/T 0014   夹链自封袋</w:t>
      </w:r>
    </w:p>
    <w:p w14:paraId="1DE4C9F7">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HG/T 2765.4 蓝胶指示剂、变色硅胶和无钴变色硅胶</w:t>
      </w:r>
    </w:p>
    <w:p w14:paraId="1935F950">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HG/T 3949  美纹纸压敏胶粘带</w:t>
      </w:r>
    </w:p>
    <w:p w14:paraId="542514B5">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JB/T 7499   涂附磨具  耐水砂纸</w:t>
      </w:r>
    </w:p>
    <w:p w14:paraId="43B77BA6">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JC/T 827    石材圆盘切锯机</w:t>
      </w:r>
    </w:p>
    <w:p w14:paraId="4D4EA6A9">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JGJ/T 70    建筑砂浆基本性能试验方法标准</w:t>
      </w:r>
    </w:p>
    <w:p w14:paraId="7E306AD4">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woUserID w:val="0"/>
        </w:rPr>
      </w:pPr>
      <w:r>
        <w:rPr>
          <w:rFonts w:hint="default" w:ascii="Times New Roman" w:hAnsi="Times New Roman" w:eastAsia="宋体" w:cs="Times New Roman"/>
          <w:color w:val="auto"/>
          <w:kern w:val="2"/>
          <w:sz w:val="21"/>
          <w:szCs w:val="24"/>
          <w:highlight w:val="none"/>
          <w:lang w:val="en-US" w:eastAsia="zh-CN" w:bidi="ar"/>
          <w:woUserID w:val="0"/>
        </w:rPr>
        <w:t>JG/T 245    混凝土试验用振动台</w:t>
      </w:r>
    </w:p>
    <w:p w14:paraId="7CEF47A0">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lang w:val="en-US" w:eastAsia="zh-CN" w:bidi="ar"/>
          <w:woUserID w:val="0"/>
        </w:rPr>
      </w:pPr>
      <w:r>
        <w:rPr>
          <w:rFonts w:hint="default" w:ascii="Times New Roman" w:hAnsi="Times New Roman" w:eastAsia="宋体" w:cs="Times New Roman"/>
          <w:color w:val="auto"/>
          <w:kern w:val="2"/>
          <w:sz w:val="21"/>
          <w:szCs w:val="24"/>
          <w:highlight w:val="none"/>
          <w:lang w:val="en-US" w:eastAsia="zh-CN" w:bidi="ar"/>
          <w:woUserID w:val="0"/>
        </w:rPr>
        <w:t>JG/T 248    混凝土坍落度仪</w:t>
      </w:r>
    </w:p>
    <w:p w14:paraId="6379A428">
      <w:pPr>
        <w:keepNext w:val="0"/>
        <w:keepLines w:val="0"/>
        <w:widowControl/>
        <w:suppressLineNumbers w:val="0"/>
        <w:kinsoku/>
        <w:overflowPunct/>
        <w:bidi w:val="0"/>
        <w:adjustRightInd/>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2"/>
          <w:sz w:val="21"/>
          <w:szCs w:val="24"/>
          <w:highlight w:val="none"/>
          <w:lang w:val="en-US" w:eastAsia="zh-CN" w:bidi="ar"/>
          <w:woUserID w:val="0"/>
        </w:rPr>
      </w:pPr>
      <w:r>
        <w:rPr>
          <w:rFonts w:hint="default" w:ascii="Times New Roman" w:hAnsi="Times New Roman" w:eastAsia="宋体" w:cs="Times New Roman"/>
          <w:color w:val="auto"/>
          <w:kern w:val="2"/>
          <w:sz w:val="21"/>
          <w:szCs w:val="24"/>
          <w:highlight w:val="none"/>
          <w:lang w:val="en-US" w:eastAsia="zh-CN" w:bidi="ar"/>
          <w:woUserID w:val="0"/>
        </w:rPr>
        <w:t>JG/T 262</w:t>
      </w:r>
      <w:r>
        <w:rPr>
          <w:rFonts w:hint="eastAsia" w:eastAsia="宋体" w:cs="Times New Roman"/>
          <w:color w:val="auto"/>
          <w:kern w:val="2"/>
          <w:sz w:val="21"/>
          <w:szCs w:val="24"/>
          <w:highlight w:val="none"/>
          <w:lang w:val="en-US" w:eastAsia="zh-CN" w:bidi="ar"/>
          <w:woUserID w:val="0"/>
        </w:rPr>
        <w:t xml:space="preserve">    </w:t>
      </w:r>
      <w:r>
        <w:rPr>
          <w:rFonts w:hint="default" w:ascii="Times New Roman" w:hAnsi="Times New Roman" w:eastAsia="宋体" w:cs="Times New Roman"/>
          <w:color w:val="auto"/>
          <w:kern w:val="2"/>
          <w:sz w:val="21"/>
          <w:szCs w:val="24"/>
          <w:highlight w:val="none"/>
          <w:lang w:val="en-US" w:eastAsia="zh-CN" w:bidi="ar"/>
          <w:woUserID w:val="0"/>
        </w:rPr>
        <w:t>混凝土氯离子扩散系数测定仪</w:t>
      </w:r>
    </w:p>
    <w:p w14:paraId="2274391A">
      <w:pPr>
        <w:widowControl/>
        <w:kinsoku/>
        <w:overflowPunct/>
        <w:bidi w:val="0"/>
        <w:spacing w:line="360" w:lineRule="auto"/>
        <w:ind w:firstLine="420" w:firstLineChars="200"/>
        <w:jc w:val="left"/>
        <w:rPr>
          <w:rFonts w:hint="eastAsia" w:ascii="Times New Roman" w:hAnsi="Times New Roman" w:eastAsia="宋体" w:cs="Times New Roman"/>
          <w:color w:val="auto"/>
          <w:kern w:val="2"/>
          <w:sz w:val="21"/>
          <w:szCs w:val="24"/>
          <w:highlight w:val="none"/>
          <w:lang w:val="en-US" w:eastAsia="zh-CN" w:bidi="ar"/>
          <w:woUserID w:val="3"/>
        </w:rPr>
      </w:pPr>
      <w:r>
        <w:rPr>
          <w:rFonts w:hint="default" w:ascii="Times New Roman" w:hAnsi="Times New Roman" w:eastAsia="宋体" w:cs="Times New Roman"/>
          <w:color w:val="auto"/>
          <w:kern w:val="2"/>
          <w:sz w:val="21"/>
          <w:szCs w:val="24"/>
          <w:highlight w:val="none"/>
          <w:lang w:val="en-US" w:eastAsia="zh-CN" w:bidi="ar"/>
          <w:woUserID w:val="0"/>
        </w:rPr>
        <w:t>JGJ/T 384   钻芯法检测混凝土强度技术规程</w:t>
      </w:r>
    </w:p>
    <w:p w14:paraId="5F03B52B">
      <w:pPr>
        <w:pStyle w:val="64"/>
        <w:kinsoku/>
        <w:overflowPunct/>
        <w:bidi w:val="0"/>
        <w:spacing w:before="312" w:beforeLines="100" w:after="312" w:afterLines="100" w:line="360" w:lineRule="auto"/>
        <w:outlineLvl w:val="0"/>
        <w:rPr>
          <w:color w:val="auto"/>
          <w:highlight w:val="none"/>
        </w:rPr>
      </w:pPr>
      <w:bookmarkStart w:id="6" w:name="_Toc30144"/>
      <w:r>
        <w:rPr>
          <w:color w:val="auto"/>
          <w:highlight w:val="none"/>
        </w:rPr>
        <w:t>3  术语和定义</w:t>
      </w:r>
      <w:bookmarkEnd w:id="6"/>
    </w:p>
    <w:bookmarkEnd w:id="3"/>
    <w:p w14:paraId="2C4A1F6B">
      <w:pPr>
        <w:kinsoku/>
        <w:overflowPunct/>
        <w:bidi w:val="0"/>
        <w:spacing w:line="360" w:lineRule="auto"/>
        <w:ind w:firstLine="420" w:firstLineChars="200"/>
        <w:rPr>
          <w:color w:val="auto"/>
          <w:highlight w:val="none"/>
        </w:rPr>
      </w:pPr>
      <w:r>
        <w:rPr>
          <w:color w:val="auto"/>
          <w:highlight w:val="none"/>
        </w:rPr>
        <w:t>下列术语和定义适用于本文件。</w:t>
      </w:r>
    </w:p>
    <w:p w14:paraId="2B73FF6C">
      <w:pPr>
        <w:pStyle w:val="65"/>
        <w:kinsoku/>
        <w:overflowPunct/>
        <w:bidi w:val="0"/>
        <w:spacing w:before="156" w:beforeLines="50" w:after="156" w:afterLines="50" w:line="360" w:lineRule="auto"/>
        <w:ind w:firstLine="0" w:firstLineChars="0"/>
        <w:outlineLvl w:val="9"/>
        <w:rPr>
          <w:rFonts w:eastAsia="宋体"/>
          <w:b/>
          <w:bCs/>
          <w:color w:val="auto"/>
          <w:highlight w:val="none"/>
        </w:rPr>
      </w:pPr>
      <w:r>
        <w:rPr>
          <w:rFonts w:eastAsia="宋体"/>
          <w:color w:val="auto"/>
          <w:highlight w:val="none"/>
        </w:rPr>
        <w:t xml:space="preserve">3.1  </w:t>
      </w:r>
      <w:r>
        <w:rPr>
          <w:color w:val="auto"/>
          <w:kern w:val="2"/>
          <w:szCs w:val="24"/>
          <w:highlight w:val="none"/>
        </w:rPr>
        <w:t>超高性能混凝土  ultra-high performance concrete</w:t>
      </w:r>
    </w:p>
    <w:p w14:paraId="3C3E8B94">
      <w:pPr>
        <w:kinsoku/>
        <w:overflowPunct/>
        <w:bidi w:val="0"/>
        <w:spacing w:line="360" w:lineRule="auto"/>
        <w:ind w:firstLine="420"/>
        <w:rPr>
          <w:rFonts w:ascii="Times New Roman" w:hAnsi="Times New Roman" w:eastAsia="黑体"/>
          <w:color w:val="auto"/>
          <w:highlight w:val="none"/>
        </w:rPr>
      </w:pPr>
      <w:r>
        <w:rPr>
          <w:rFonts w:hint="eastAsia" w:ascii="Times New Roman" w:hAnsi="Times New Roman"/>
          <w:color w:val="auto"/>
          <w:highlight w:val="none"/>
        </w:rPr>
        <w:t>以水泥和矿物掺合料为胶凝材料，配合骨料、外加剂、高强度微细钢纤维和／或非金属纤维、水等生产的纤维增韧超高强高性能混凝土</w:t>
      </w:r>
      <w:r>
        <w:rPr>
          <w:rFonts w:ascii="Times New Roman" w:hAnsi="Times New Roman"/>
          <w:color w:val="auto"/>
          <w:highlight w:val="none"/>
        </w:rPr>
        <w:t>。</w:t>
      </w:r>
    </w:p>
    <w:p w14:paraId="7CDBD5D4">
      <w:pPr>
        <w:pStyle w:val="65"/>
        <w:spacing w:before="156" w:beforeLines="50" w:after="156" w:afterLines="50" w:line="360" w:lineRule="auto"/>
        <w:outlineLvl w:val="9"/>
        <w:rPr>
          <w:rFonts w:hint="eastAsia" w:ascii="黑体" w:hAnsi="黑体" w:eastAsia="黑体" w:cs="黑体"/>
          <w:color w:val="auto"/>
          <w:highlight w:val="none"/>
        </w:rPr>
      </w:pPr>
      <w:r>
        <w:rPr>
          <w:rFonts w:hint="eastAsia" w:ascii="黑体" w:hAnsi="黑体" w:eastAsia="黑体" w:cs="黑体"/>
          <w:color w:val="auto"/>
          <w:highlight w:val="none"/>
        </w:rPr>
        <w:t>3.</w:t>
      </w:r>
      <w:r>
        <w:rPr>
          <w:rFonts w:hint="eastAsia" w:ascii="黑体" w:hAnsi="黑体" w:eastAsia="黑体" w:cs="黑体"/>
          <w:color w:val="auto"/>
          <w:highlight w:val="none"/>
          <w:lang w:val="en-US" w:eastAsia="zh-CN"/>
          <w:woUserID w:val="0"/>
        </w:rPr>
        <w:t>2</w:t>
      </w:r>
      <w:r>
        <w:rPr>
          <w:rFonts w:hint="eastAsia" w:ascii="黑体" w:hAnsi="黑体" w:eastAsia="黑体" w:cs="黑体"/>
          <w:color w:val="auto"/>
          <w:highlight w:val="none"/>
          <w:lang w:eastAsia="zh"/>
          <w:woUserID w:val="0"/>
        </w:rPr>
        <w:t xml:space="preserve"> </w:t>
      </w:r>
      <w:r>
        <w:rPr>
          <w:rFonts w:hint="eastAsia" w:ascii="黑体" w:hAnsi="黑体" w:eastAsia="黑体" w:cs="黑体"/>
          <w:color w:val="auto"/>
          <w:highlight w:val="none"/>
        </w:rPr>
        <w:t>弹性拉伸应力 elastic tensile stress</w:t>
      </w:r>
    </w:p>
    <w:p w14:paraId="4E7B152F">
      <w:pPr>
        <w:kinsoku/>
        <w:overflowPunct/>
        <w:bidi w:val="0"/>
        <w:spacing w:line="360" w:lineRule="auto"/>
        <w:ind w:firstLine="420"/>
        <w:rPr>
          <w:rFonts w:ascii="Times New Roman" w:hAnsi="Times New Roman"/>
          <w:color w:val="auto"/>
          <w:highlight w:val="none"/>
        </w:rPr>
      </w:pPr>
      <w:r>
        <w:rPr>
          <w:rFonts w:hint="eastAsia" w:ascii="Times New Roman" w:hAnsi="Times New Roman"/>
          <w:color w:val="auto"/>
          <w:highlight w:val="none"/>
        </w:rPr>
        <w:t>超高性能混凝土轴心拉伸过程中，拉伸应变达到0</w:t>
      </w:r>
      <w:r>
        <w:rPr>
          <w:rFonts w:ascii="Times New Roman" w:hAnsi="Times New Roman"/>
          <w:color w:val="auto"/>
          <w:highlight w:val="none"/>
        </w:rPr>
        <w:t>.02%</w:t>
      </w:r>
      <w:r>
        <w:rPr>
          <w:rFonts w:hint="eastAsia" w:ascii="Times New Roman" w:hAnsi="Times New Roman"/>
          <w:color w:val="auto"/>
          <w:highlight w:val="none"/>
        </w:rPr>
        <w:t>时所对应的拉伸应力。</w:t>
      </w:r>
    </w:p>
    <w:p w14:paraId="3E265258">
      <w:pPr>
        <w:pStyle w:val="65"/>
        <w:spacing w:before="156" w:beforeLines="50" w:after="156" w:afterLines="50" w:line="360" w:lineRule="auto"/>
        <w:outlineLvl w:val="9"/>
        <w:rPr>
          <w:rFonts w:hint="eastAsia" w:ascii="黑体" w:hAnsi="黑体" w:eastAsia="黑体" w:cs="黑体"/>
          <w:color w:val="auto"/>
          <w:highlight w:val="none"/>
        </w:rPr>
      </w:pPr>
      <w:r>
        <w:rPr>
          <w:rFonts w:hint="eastAsia" w:ascii="黑体" w:hAnsi="黑体" w:eastAsia="黑体" w:cs="黑体"/>
          <w:color w:val="auto"/>
          <w:highlight w:val="none"/>
        </w:rPr>
        <w:t>3.</w:t>
      </w:r>
      <w:r>
        <w:rPr>
          <w:rFonts w:hint="eastAsia" w:ascii="黑体" w:hAnsi="黑体" w:eastAsia="黑体" w:cs="黑体"/>
          <w:color w:val="auto"/>
          <w:highlight w:val="none"/>
          <w:lang w:val="en-US" w:eastAsia="zh-CN"/>
          <w:woUserID w:val="0"/>
        </w:rPr>
        <w:t>3</w:t>
      </w:r>
      <w:r>
        <w:rPr>
          <w:rFonts w:hint="eastAsia" w:ascii="黑体" w:hAnsi="黑体" w:eastAsia="黑体" w:cs="黑体"/>
          <w:color w:val="auto"/>
          <w:highlight w:val="none"/>
          <w:lang w:eastAsia="zh"/>
          <w:woUserID w:val="0"/>
        </w:rPr>
        <w:t xml:space="preserve"> </w:t>
      </w:r>
      <w:r>
        <w:rPr>
          <w:rFonts w:hint="eastAsia" w:ascii="黑体" w:hAnsi="黑体" w:eastAsia="黑体" w:cs="黑体"/>
          <w:color w:val="auto"/>
          <w:highlight w:val="none"/>
        </w:rPr>
        <w:t>抗拉强度 tensile strength</w:t>
      </w:r>
    </w:p>
    <w:p w14:paraId="17932728">
      <w:pPr>
        <w:kinsoku/>
        <w:overflowPunct/>
        <w:bidi w:val="0"/>
        <w:spacing w:line="360" w:lineRule="auto"/>
        <w:ind w:firstLine="420"/>
        <w:rPr>
          <w:rFonts w:hint="eastAsia" w:ascii="Times New Roman" w:hAnsi="Times New Roman"/>
          <w:color w:val="auto"/>
          <w:highlight w:val="none"/>
        </w:rPr>
      </w:pPr>
      <w:r>
        <w:rPr>
          <w:rFonts w:hint="eastAsia" w:ascii="Times New Roman" w:hAnsi="Times New Roman"/>
          <w:color w:val="auto"/>
          <w:highlight w:val="none"/>
        </w:rPr>
        <w:t>超高性能混凝土轴心拉伸过程中可承受的最大拉伸应力。</w:t>
      </w:r>
    </w:p>
    <w:p w14:paraId="1850D4B4">
      <w:pPr>
        <w:pStyle w:val="65"/>
        <w:spacing w:before="156" w:beforeLines="50" w:after="156" w:afterLines="50" w:line="360" w:lineRule="auto"/>
        <w:outlineLvl w:val="9"/>
        <w:rPr>
          <w:rFonts w:hint="eastAsia" w:ascii="黑体" w:hAnsi="黑体" w:eastAsia="黑体" w:cs="黑体"/>
          <w:color w:val="auto"/>
          <w:highlight w:val="none"/>
          <w:lang w:val="en-US"/>
          <w:woUserID w:val="0"/>
        </w:rPr>
      </w:pPr>
      <w:r>
        <w:rPr>
          <w:rFonts w:hint="eastAsia" w:ascii="黑体" w:hAnsi="黑体" w:eastAsia="黑体" w:cs="黑体"/>
          <w:color w:val="auto"/>
          <w:kern w:val="0"/>
          <w:sz w:val="21"/>
          <w:szCs w:val="20"/>
          <w:highlight w:val="none"/>
          <w:lang w:val="en-US" w:eastAsia="zh-CN" w:bidi="ar"/>
          <w:woUserID w:val="0"/>
        </w:rPr>
        <w:t>3.4</w:t>
      </w:r>
      <w:r>
        <w:rPr>
          <w:rFonts w:hint="eastAsia" w:ascii="黑体" w:hAnsi="黑体" w:eastAsia="黑体" w:cs="黑体"/>
          <w:color w:val="auto"/>
          <w:kern w:val="0"/>
          <w:sz w:val="21"/>
          <w:szCs w:val="20"/>
          <w:highlight w:val="none"/>
          <w:lang w:val="en-US" w:eastAsia="zh" w:bidi="ar"/>
          <w:woUserID w:val="0"/>
        </w:rPr>
        <w:t xml:space="preserve"> </w:t>
      </w:r>
      <w:r>
        <w:rPr>
          <w:rFonts w:hint="eastAsia" w:ascii="黑体" w:hAnsi="黑体" w:eastAsia="黑体" w:cs="黑体"/>
          <w:color w:val="auto"/>
          <w:kern w:val="0"/>
          <w:sz w:val="21"/>
          <w:szCs w:val="20"/>
          <w:highlight w:val="none"/>
          <w:lang w:val="en-US" w:eastAsia="zh-CN" w:bidi="ar"/>
          <w:woUserID w:val="0"/>
        </w:rPr>
        <w:t>抗拉应变 tensile strain</w:t>
      </w:r>
    </w:p>
    <w:p w14:paraId="072A2F51">
      <w:pPr>
        <w:widowControl/>
        <w:kinsoku/>
        <w:overflowPunct/>
        <w:bidi w:val="0"/>
        <w:spacing w:line="360" w:lineRule="auto"/>
        <w:ind w:firstLine="420"/>
        <w:jc w:val="left"/>
        <w:rPr>
          <w:rFonts w:hint="eastAsia" w:ascii="Times New Roman" w:hAnsi="Times New Roman"/>
          <w:color w:val="auto"/>
          <w:highlight w:val="none"/>
          <w:lang w:eastAsia="zh"/>
        </w:rPr>
      </w:pPr>
      <w:r>
        <w:rPr>
          <w:rFonts w:hint="eastAsia" w:ascii="Times New Roman" w:hAnsi="Times New Roman" w:eastAsia="等线" w:cs="Times New Roman"/>
          <w:color w:val="auto"/>
          <w:kern w:val="2"/>
          <w:sz w:val="22"/>
          <w:szCs w:val="24"/>
          <w:highlight w:val="none"/>
          <w:lang w:val="en-US" w:eastAsia="zh-CN" w:bidi="ar"/>
          <w:woUserID w:val="3"/>
        </w:rPr>
        <w:t>超高性能混凝土轴心拉伸过程中最大拉伸应力对应的应变。</w:t>
      </w:r>
    </w:p>
    <w:p w14:paraId="516613FB">
      <w:pPr>
        <w:pStyle w:val="65"/>
        <w:spacing w:before="156" w:beforeLines="50" w:after="156" w:afterLines="50" w:line="360" w:lineRule="auto"/>
        <w:outlineLvl w:val="9"/>
        <w:rPr>
          <w:rFonts w:hint="eastAsia" w:ascii="黑体" w:hAnsi="黑体" w:eastAsia="黑体" w:cs="黑体"/>
          <w:color w:val="auto"/>
          <w:highlight w:val="none"/>
          <w:lang w:bidi="ar"/>
        </w:rPr>
      </w:pPr>
      <w:r>
        <w:rPr>
          <w:rFonts w:hint="eastAsia" w:ascii="黑体" w:hAnsi="黑体" w:eastAsia="黑体" w:cs="黑体"/>
          <w:color w:val="auto"/>
          <w:highlight w:val="none"/>
          <w:lang w:bidi="ar"/>
        </w:rPr>
        <w:t>3.</w:t>
      </w:r>
      <w:r>
        <w:rPr>
          <w:rFonts w:hint="eastAsia" w:ascii="黑体" w:hAnsi="黑体" w:eastAsia="黑体" w:cs="黑体"/>
          <w:color w:val="auto"/>
          <w:highlight w:val="none"/>
          <w:lang w:val="en-US" w:eastAsia="zh-CN" w:bidi="ar"/>
          <w:woUserID w:val="0"/>
        </w:rPr>
        <w:t>5</w:t>
      </w:r>
      <w:r>
        <w:rPr>
          <w:rFonts w:hint="eastAsia" w:ascii="黑体" w:hAnsi="黑体" w:eastAsia="黑体" w:cs="黑体"/>
          <w:color w:val="auto"/>
          <w:highlight w:val="none"/>
          <w:lang w:eastAsia="zh-CN" w:bidi="ar"/>
          <w:woUserID w:val="0"/>
        </w:rPr>
        <w:t xml:space="preserve"> </w:t>
      </w:r>
      <w:r>
        <w:rPr>
          <w:rFonts w:hint="eastAsia" w:ascii="黑体" w:hAnsi="黑体" w:eastAsia="黑体" w:cs="黑体"/>
          <w:color w:val="auto"/>
          <w:highlight w:val="none"/>
          <w:lang w:bidi="ar"/>
        </w:rPr>
        <w:t>残余抗拉强度 residual tension strength</w:t>
      </w:r>
    </w:p>
    <w:p w14:paraId="2CE1C7AE">
      <w:pPr>
        <w:kinsoku/>
        <w:overflowPunct/>
        <w:bidi w:val="0"/>
        <w:spacing w:line="360" w:lineRule="auto"/>
        <w:ind w:firstLine="420"/>
        <w:rPr>
          <w:rFonts w:hint="eastAsia" w:ascii="Times New Roman" w:hAnsi="Times New Roman"/>
          <w:color w:val="auto"/>
          <w:highlight w:val="none"/>
        </w:rPr>
      </w:pPr>
      <w:r>
        <w:rPr>
          <w:rFonts w:hint="eastAsia" w:ascii="Times New Roman" w:hAnsi="Times New Roman"/>
          <w:color w:val="auto"/>
          <w:highlight w:val="none"/>
        </w:rPr>
        <w:t>超高性能混凝土轴心拉伸过程中，应变软化阶段拉伸应变达到0</w:t>
      </w:r>
      <w:r>
        <w:rPr>
          <w:rFonts w:ascii="Times New Roman" w:hAnsi="Times New Roman"/>
          <w:color w:val="auto"/>
          <w:highlight w:val="none"/>
        </w:rPr>
        <w:t>.15%</w:t>
      </w:r>
      <w:r>
        <w:rPr>
          <w:rFonts w:hint="eastAsia" w:ascii="Times New Roman" w:hAnsi="Times New Roman"/>
          <w:color w:val="auto"/>
          <w:highlight w:val="none"/>
        </w:rPr>
        <w:t>时所对应的拉伸应力。</w:t>
      </w:r>
    </w:p>
    <w:p w14:paraId="156C9EE7">
      <w:pPr>
        <w:pStyle w:val="65"/>
        <w:spacing w:before="156" w:beforeLines="50" w:after="156" w:afterLines="50" w:line="360" w:lineRule="auto"/>
        <w:outlineLvl w:val="9"/>
        <w:rPr>
          <w:rFonts w:hint="default" w:ascii="黑体" w:hAnsi="黑体" w:eastAsia="黑体" w:cs="黑体"/>
          <w:color w:val="auto"/>
          <w:highlight w:val="none"/>
          <w:lang w:bidi="ar"/>
          <w:woUserID w:val="0"/>
        </w:rPr>
      </w:pPr>
      <w:r>
        <w:rPr>
          <w:rFonts w:hint="default" w:ascii="黑体" w:hAnsi="黑体" w:eastAsia="黑体" w:cs="黑体"/>
          <w:color w:val="auto"/>
          <w:highlight w:val="none"/>
          <w:lang w:val="en-US" w:eastAsia="zh-CN" w:bidi="ar"/>
          <w:woUserID w:val="0"/>
        </w:rPr>
        <w:t>3.</w:t>
      </w:r>
      <w:r>
        <w:rPr>
          <w:rFonts w:hint="eastAsia" w:ascii="黑体" w:hAnsi="黑体" w:cs="黑体"/>
          <w:color w:val="auto"/>
          <w:highlight w:val="none"/>
          <w:lang w:val="en-US" w:eastAsia="zh-CN" w:bidi="ar"/>
          <w:woUserID w:val="0"/>
        </w:rPr>
        <w:t xml:space="preserve">6 </w:t>
      </w:r>
      <w:r>
        <w:rPr>
          <w:rFonts w:hint="default" w:ascii="黑体" w:hAnsi="黑体" w:eastAsia="黑体" w:cs="黑体"/>
          <w:color w:val="auto"/>
          <w:highlight w:val="none"/>
          <w:lang w:bidi="ar"/>
          <w:woUserID w:val="0"/>
        </w:rPr>
        <w:t xml:space="preserve">气体渗透率  </w:t>
      </w:r>
      <w:r>
        <w:rPr>
          <w:rFonts w:hint="eastAsia" w:ascii="黑体" w:hAnsi="黑体" w:eastAsia="黑体" w:cs="黑体"/>
          <w:color w:val="auto"/>
          <w:highlight w:val="none"/>
          <w:lang w:bidi="ar"/>
          <w:woUserID w:val="0"/>
        </w:rPr>
        <w:t>g</w:t>
      </w:r>
      <w:r>
        <w:rPr>
          <w:rFonts w:hint="default" w:ascii="黑体" w:hAnsi="黑体" w:eastAsia="黑体" w:cs="黑体"/>
          <w:color w:val="auto"/>
          <w:highlight w:val="none"/>
          <w:lang w:bidi="ar"/>
          <w:woUserID w:val="0"/>
        </w:rPr>
        <w:t>as</w:t>
      </w:r>
      <w:r>
        <w:rPr>
          <w:rFonts w:hint="eastAsia" w:ascii="黑体" w:hAnsi="黑体" w:eastAsia="黑体" w:cs="黑体"/>
          <w:color w:val="auto"/>
          <w:highlight w:val="none"/>
          <w:lang w:bidi="ar"/>
          <w:woUserID w:val="0"/>
        </w:rPr>
        <w:t xml:space="preserve"> permeability</w:t>
      </w:r>
      <w:r>
        <w:rPr>
          <w:rFonts w:hint="default" w:ascii="黑体" w:hAnsi="黑体" w:eastAsia="黑体" w:cs="黑体"/>
          <w:color w:val="auto"/>
          <w:highlight w:val="none"/>
          <w:lang w:bidi="ar"/>
          <w:woUserID w:val="0"/>
        </w:rPr>
        <w:t xml:space="preserve"> </w:t>
      </w:r>
    </w:p>
    <w:p w14:paraId="21671795">
      <w:pPr>
        <w:widowControl/>
        <w:spacing w:beforeLines="0" w:afterLines="0" w:line="360" w:lineRule="auto"/>
        <w:ind w:firstLine="440" w:firstLineChars="200"/>
        <w:jc w:val="left"/>
        <w:outlineLvl w:val="9"/>
        <w:rPr>
          <w:rFonts w:hint="eastAsia" w:ascii="Times New Roman" w:hAnsi="Times New Roman" w:eastAsia="等线"/>
          <w:color w:val="auto"/>
          <w:kern w:val="2"/>
          <w:sz w:val="22"/>
          <w:szCs w:val="24"/>
          <w:highlight w:val="none"/>
          <w:lang w:bidi="ar"/>
          <w:woUserID w:val="3"/>
        </w:rPr>
      </w:pPr>
      <w:r>
        <w:rPr>
          <w:rFonts w:hint="eastAsia" w:ascii="Times New Roman" w:hAnsi="Times New Roman" w:eastAsia="等线"/>
          <w:color w:val="auto"/>
          <w:kern w:val="2"/>
          <w:sz w:val="22"/>
          <w:szCs w:val="24"/>
          <w:highlight w:val="none"/>
          <w:lang w:bidi="ar"/>
          <w:woUserID w:val="3"/>
        </w:rPr>
        <w:t>在一定压力梯度下，气体在混凝土中渗流时，气体透过混凝土的能力。</w:t>
      </w:r>
    </w:p>
    <w:p w14:paraId="174FC776">
      <w:pPr>
        <w:pStyle w:val="65"/>
        <w:spacing w:before="156" w:beforeLines="50" w:after="156" w:afterLines="50" w:line="360" w:lineRule="auto"/>
        <w:outlineLvl w:val="9"/>
        <w:rPr>
          <w:rFonts w:hint="default" w:ascii="黑体" w:hAnsi="黑体" w:eastAsia="黑体" w:cs="黑体"/>
          <w:color w:val="auto"/>
          <w:highlight w:val="none"/>
          <w:lang w:bidi="ar"/>
          <w:woUserID w:val="0"/>
        </w:rPr>
      </w:pPr>
      <w:r>
        <w:rPr>
          <w:rFonts w:hint="default" w:ascii="黑体" w:hAnsi="黑体" w:eastAsia="黑体" w:cs="黑体"/>
          <w:color w:val="auto"/>
          <w:highlight w:val="none"/>
          <w:lang w:bidi="ar"/>
          <w:woUserID w:val="0"/>
        </w:rPr>
        <w:t>3.</w:t>
      </w:r>
      <w:r>
        <w:rPr>
          <w:rFonts w:hint="eastAsia" w:ascii="黑体" w:hAnsi="黑体" w:cs="黑体"/>
          <w:color w:val="auto"/>
          <w:highlight w:val="none"/>
          <w:lang w:val="en-US" w:eastAsia="zh-CN" w:bidi="ar"/>
          <w:woUserID w:val="0"/>
        </w:rPr>
        <w:t>7</w:t>
      </w:r>
      <w:r>
        <w:rPr>
          <w:rFonts w:hint="default" w:ascii="黑体" w:hAnsi="黑体" w:eastAsia="黑体" w:cs="黑体"/>
          <w:color w:val="auto"/>
          <w:highlight w:val="none"/>
          <w:lang w:bidi="ar"/>
          <w:woUserID w:val="0"/>
        </w:rPr>
        <w:t xml:space="preserve"> 表观气体渗透率  </w:t>
      </w:r>
      <w:r>
        <w:rPr>
          <w:rFonts w:hint="eastAsia" w:ascii="黑体" w:hAnsi="黑体" w:eastAsia="黑体" w:cs="黑体"/>
          <w:color w:val="auto"/>
          <w:highlight w:val="none"/>
          <w:lang w:bidi="ar"/>
          <w:woUserID w:val="0"/>
        </w:rPr>
        <w:t>apparent gas permeability</w:t>
      </w:r>
      <w:r>
        <w:rPr>
          <w:rFonts w:hint="default" w:ascii="黑体" w:hAnsi="黑体" w:eastAsia="黑体" w:cs="黑体"/>
          <w:color w:val="auto"/>
          <w:highlight w:val="none"/>
          <w:lang w:bidi="ar"/>
          <w:woUserID w:val="0"/>
        </w:rPr>
        <w:t xml:space="preserve"> </w:t>
      </w:r>
    </w:p>
    <w:p w14:paraId="4ACE96F6">
      <w:pPr>
        <w:spacing w:beforeLines="0" w:afterLines="0" w:line="360" w:lineRule="auto"/>
        <w:ind w:firstLine="420" w:firstLineChars="200"/>
        <w:outlineLvl w:val="9"/>
        <w:rPr>
          <w:rFonts w:hint="eastAsia" w:ascii="Times New Roman" w:hAnsi="Times New Roman" w:eastAsia="宋体"/>
          <w:color w:val="auto"/>
          <w:kern w:val="2"/>
          <w:szCs w:val="24"/>
          <w:highlight w:val="none"/>
        </w:rPr>
      </w:pPr>
      <w:r>
        <w:rPr>
          <w:rFonts w:hint="eastAsia" w:ascii="Times New Roman" w:hAnsi="Times New Roman" w:eastAsia="宋体"/>
          <w:color w:val="auto"/>
          <w:kern w:val="2"/>
          <w:szCs w:val="24"/>
          <w:highlight w:val="none"/>
        </w:rPr>
        <w:t>在特定进气压力下，通过测量气体在混凝土中稳定流动状态时的气体流量，由达西定律计算得到的混凝土气体渗透率。</w:t>
      </w:r>
    </w:p>
    <w:p w14:paraId="28C909FA">
      <w:pPr>
        <w:pStyle w:val="65"/>
        <w:spacing w:before="156" w:beforeLines="50" w:after="156" w:afterLines="50" w:line="360" w:lineRule="auto"/>
        <w:outlineLvl w:val="9"/>
        <w:rPr>
          <w:rFonts w:hint="eastAsia" w:ascii="黑体" w:hAnsi="黑体" w:eastAsia="黑体" w:cs="黑体"/>
          <w:color w:val="auto"/>
          <w:highlight w:val="none"/>
          <w:lang w:bidi="ar"/>
          <w:woUserID w:val="0"/>
        </w:rPr>
      </w:pPr>
      <w:r>
        <w:rPr>
          <w:rFonts w:hint="default" w:ascii="黑体" w:hAnsi="黑体" w:eastAsia="黑体" w:cs="黑体"/>
          <w:color w:val="auto"/>
          <w:highlight w:val="none"/>
          <w:lang w:bidi="ar"/>
          <w:woUserID w:val="0"/>
        </w:rPr>
        <w:t>3.</w:t>
      </w:r>
      <w:r>
        <w:rPr>
          <w:rFonts w:hint="eastAsia" w:ascii="黑体" w:hAnsi="黑体" w:cs="黑体"/>
          <w:color w:val="auto"/>
          <w:highlight w:val="none"/>
          <w:lang w:val="en-US" w:eastAsia="zh-CN" w:bidi="ar"/>
          <w:woUserID w:val="0"/>
        </w:rPr>
        <w:t>8</w:t>
      </w:r>
      <w:r>
        <w:rPr>
          <w:rFonts w:hint="default" w:ascii="黑体" w:hAnsi="黑体" w:eastAsia="黑体" w:cs="黑体"/>
          <w:color w:val="auto"/>
          <w:highlight w:val="none"/>
          <w:lang w:bidi="ar"/>
          <w:woUserID w:val="0"/>
        </w:rPr>
        <w:t xml:space="preserve"> 固有气体渗透率  </w:t>
      </w:r>
      <w:r>
        <w:rPr>
          <w:rFonts w:hint="eastAsia" w:ascii="黑体" w:hAnsi="黑体" w:eastAsia="黑体" w:cs="黑体"/>
          <w:color w:val="auto"/>
          <w:highlight w:val="none"/>
          <w:lang w:bidi="ar"/>
          <w:woUserID w:val="0"/>
        </w:rPr>
        <w:t>intrinsic gas permeability</w:t>
      </w:r>
    </w:p>
    <w:p w14:paraId="0D3BB64E">
      <w:pPr>
        <w:widowControl/>
        <w:shd w:val="clear" w:fill="FFFFFF"/>
        <w:adjustRightInd/>
        <w:spacing w:before="0" w:beforeAutospacing="0" w:after="0" w:afterAutospacing="0" w:line="360" w:lineRule="auto"/>
        <w:ind w:left="0" w:right="0" w:firstLine="420"/>
        <w:jc w:val="left"/>
        <w:rPr>
          <w:rFonts w:hint="eastAsia" w:ascii="Times New Roman" w:hAnsi="Times New Roman" w:eastAsia="宋体" w:cs="Times New Roman"/>
          <w:color w:val="auto"/>
          <w:kern w:val="2"/>
          <w:sz w:val="21"/>
          <w:szCs w:val="24"/>
          <w:highlight w:val="none"/>
          <w:shd w:val="clear" w:fill="FFFFFF"/>
          <w:lang w:val="en-US" w:eastAsia="zh-CN" w:bidi="ar"/>
          <w:woUserID w:val="0"/>
        </w:rPr>
      </w:pPr>
      <w:r>
        <w:rPr>
          <w:rFonts w:hint="eastAsia" w:ascii="Times New Roman" w:hAnsi="Times New Roman" w:eastAsia="宋体" w:cs="Times New Roman"/>
          <w:color w:val="auto"/>
          <w:kern w:val="2"/>
          <w:sz w:val="21"/>
          <w:szCs w:val="24"/>
          <w:highlight w:val="none"/>
          <w:shd w:val="clear" w:fill="FFFFFF"/>
          <w:lang w:val="en-US" w:eastAsia="zh-CN" w:bidi="ar"/>
          <w:woUserID w:val="0"/>
        </w:rPr>
        <w:t>考虑气体滑移效应，通过对不同压力梯度下测得的混凝土表观气体渗透率线性回归得到的反映混凝土固有特性的渗透率。</w:t>
      </w:r>
    </w:p>
    <w:p w14:paraId="6F7CC458">
      <w:pPr>
        <w:pStyle w:val="65"/>
        <w:spacing w:before="156" w:beforeLines="50" w:after="156" w:afterLines="50" w:line="360" w:lineRule="auto"/>
        <w:outlineLvl w:val="9"/>
        <w:rPr>
          <w:rFonts w:hint="eastAsia" w:ascii="黑体" w:hAnsi="黑体" w:eastAsia="黑体" w:cs="黑体"/>
          <w:color w:val="auto"/>
          <w:kern w:val="0"/>
          <w:sz w:val="21"/>
          <w:szCs w:val="20"/>
          <w:highlight w:val="none"/>
          <w:shd w:val="clear"/>
          <w:lang w:bidi="ar"/>
          <w:woUserID w:val="0"/>
        </w:rPr>
      </w:pPr>
      <w:r>
        <w:rPr>
          <w:rFonts w:hint="eastAsia" w:ascii="黑体" w:hAnsi="黑体" w:eastAsia="黑体" w:cs="黑体"/>
          <w:color w:val="auto"/>
          <w:highlight w:val="none"/>
          <w:lang w:bidi="ar"/>
          <w:woUserID w:val="0"/>
        </w:rPr>
        <w:t>3.</w:t>
      </w:r>
      <w:r>
        <w:rPr>
          <w:rFonts w:hint="eastAsia" w:ascii="黑体" w:hAnsi="黑体" w:cs="黑体"/>
          <w:color w:val="auto"/>
          <w:highlight w:val="none"/>
          <w:lang w:val="en-US" w:eastAsia="zh-CN" w:bidi="ar"/>
          <w:woUserID w:val="0"/>
        </w:rPr>
        <w:t>9</w:t>
      </w:r>
      <w:r>
        <w:rPr>
          <w:rFonts w:hint="eastAsia" w:ascii="黑体" w:hAnsi="黑体" w:eastAsia="黑体" w:cs="黑体"/>
          <w:color w:val="auto"/>
          <w:highlight w:val="none"/>
          <w:lang w:eastAsia="zh" w:bidi="ar"/>
          <w:woUserID w:val="0"/>
        </w:rPr>
        <w:t xml:space="preserve"> </w:t>
      </w:r>
      <w:r>
        <w:rPr>
          <w:rFonts w:hint="eastAsia" w:ascii="黑体" w:hAnsi="黑体" w:eastAsia="黑体" w:cs="黑体"/>
          <w:color w:val="auto"/>
          <w:kern w:val="0"/>
          <w:sz w:val="21"/>
          <w:szCs w:val="20"/>
          <w:highlight w:val="none"/>
          <w:shd w:val="clear"/>
          <w:lang w:val="en-US" w:eastAsia="zh-CN" w:bidi="ar"/>
          <w:woUserID w:val="0"/>
        </w:rPr>
        <w:t>毛细吸水  capillary aasorption of water</w:t>
      </w:r>
    </w:p>
    <w:p w14:paraId="17A31446">
      <w:pPr>
        <w:widowControl/>
        <w:shd w:val="clear" w:fill="FFFFFF"/>
        <w:adjustRightInd/>
        <w:spacing w:before="0" w:beforeAutospacing="0" w:after="0" w:afterAutospacing="0" w:line="360" w:lineRule="auto"/>
        <w:ind w:left="0" w:right="0" w:firstLine="420"/>
        <w:jc w:val="left"/>
        <w:rPr>
          <w:rFonts w:hint="default" w:ascii="黑体" w:hAnsi="宋体" w:eastAsia="黑体" w:cs="宋体"/>
          <w:color w:val="auto"/>
          <w:kern w:val="0"/>
          <w:sz w:val="21"/>
          <w:szCs w:val="21"/>
          <w:highlight w:val="none"/>
          <w:shd w:val="clear" w:fill="FFFFFF"/>
          <w:woUserID w:val="4"/>
        </w:rPr>
      </w:pPr>
      <w:r>
        <w:rPr>
          <w:rFonts w:hint="eastAsia" w:ascii="Times New Roman" w:hAnsi="Times New Roman" w:eastAsia="宋体" w:cs="Times New Roman"/>
          <w:color w:val="auto"/>
          <w:kern w:val="2"/>
          <w:sz w:val="21"/>
          <w:szCs w:val="24"/>
          <w:highlight w:val="none"/>
          <w:shd w:val="clear" w:fill="FFFFFF"/>
          <w:lang w:val="en-US" w:eastAsia="zh-CN" w:bidi="ar"/>
          <w:woUserID w:val="0"/>
        </w:rPr>
        <w:t>非饱和多孔材料通过毛细作用吸收液态水分的过程。</w:t>
      </w:r>
    </w:p>
    <w:p w14:paraId="7428A317">
      <w:pPr>
        <w:widowControl/>
        <w:shd w:val="clear" w:fill="FFFFFF"/>
        <w:adjustRightInd/>
        <w:spacing w:before="0" w:beforeAutospacing="1" w:after="0" w:afterAutospacing="1" w:line="360" w:lineRule="auto"/>
        <w:ind w:left="0" w:right="0" w:firstLine="0" w:firstLineChars="0"/>
        <w:jc w:val="left"/>
        <w:rPr>
          <w:rFonts w:hint="default" w:ascii="黑体" w:hAnsi="宋体" w:eastAsia="黑体" w:cs="宋体"/>
          <w:color w:val="auto"/>
          <w:kern w:val="0"/>
          <w:sz w:val="21"/>
          <w:szCs w:val="21"/>
          <w:highlight w:val="none"/>
          <w:shd w:val="clear" w:fill="FFFFFF"/>
          <w:woUserID w:val="4"/>
        </w:rPr>
      </w:pPr>
      <w:r>
        <w:rPr>
          <w:rFonts w:hint="eastAsia" w:ascii="黑体" w:eastAsia="黑体"/>
          <w:color w:val="auto"/>
          <w:highlight w:val="none"/>
          <w:woUserID w:val="4"/>
        </w:rPr>
        <w:t>3</w:t>
      </w:r>
      <w:r>
        <w:rPr>
          <w:rFonts w:ascii="黑体" w:eastAsia="黑体"/>
          <w:color w:val="auto"/>
          <w:highlight w:val="none"/>
          <w:woUserID w:val="4"/>
        </w:rPr>
        <w:t>.</w:t>
      </w:r>
      <w:r>
        <w:rPr>
          <w:rFonts w:hint="eastAsia" w:ascii="黑体" w:eastAsia="黑体"/>
          <w:color w:val="auto"/>
          <w:highlight w:val="none"/>
          <w:lang w:val="en-US" w:eastAsia="zh-CN"/>
          <w:woUserID w:val="4"/>
        </w:rPr>
        <w:t>10</w:t>
      </w:r>
      <w:r>
        <w:rPr>
          <w:rFonts w:hint="eastAsia" w:ascii="黑体" w:eastAsia="黑体"/>
          <w:color w:val="auto"/>
          <w:highlight w:val="none"/>
          <w:lang w:eastAsia="zh"/>
          <w:woUserID w:val="4"/>
        </w:rPr>
        <w:t xml:space="preserve"> </w:t>
      </w:r>
      <w:r>
        <w:rPr>
          <w:rFonts w:hint="eastAsia" w:ascii="黑体" w:hAnsi="等线" w:eastAsia="黑体" w:cs="黑体"/>
          <w:color w:val="auto"/>
          <w:kern w:val="2"/>
          <w:sz w:val="22"/>
          <w:szCs w:val="24"/>
          <w:highlight w:val="none"/>
          <w:shd w:val="clear" w:fill="FFFFFF"/>
          <w:lang w:val="en-US" w:eastAsia="zh-CN" w:bidi="ar"/>
          <w:woUserID w:val="3"/>
        </w:rPr>
        <w:t>毛细吸水率  cumulative water aasorption</w:t>
      </w:r>
    </w:p>
    <w:p w14:paraId="457B5F8C">
      <w:pPr>
        <w:widowControl/>
        <w:shd w:val="clear" w:fill="FFFFFF"/>
        <w:adjustRightInd/>
        <w:spacing w:before="0" w:beforeAutospacing="0" w:after="0" w:afterAutospacing="0" w:line="360" w:lineRule="auto"/>
        <w:ind w:left="0" w:right="0" w:firstLine="420"/>
        <w:jc w:val="left"/>
        <w:rPr>
          <w:rFonts w:hint="default" w:ascii="黑体" w:hAnsi="宋体" w:eastAsia="黑体" w:cs="宋体"/>
          <w:color w:val="auto"/>
          <w:kern w:val="0"/>
          <w:sz w:val="21"/>
          <w:szCs w:val="21"/>
          <w:highlight w:val="none"/>
          <w:shd w:val="clear" w:fill="FFFFFF"/>
          <w:woUserID w:val="4"/>
        </w:rPr>
      </w:pPr>
      <w:r>
        <w:rPr>
          <w:rFonts w:hint="eastAsia" w:ascii="宋体" w:hAnsi="宋体" w:cs="宋体"/>
          <w:color w:val="auto"/>
          <w:kern w:val="0"/>
          <w:sz w:val="21"/>
          <w:szCs w:val="21"/>
          <w:highlight w:val="none"/>
          <w:shd w:val="clear" w:fill="FFFFFF"/>
          <w:lang w:val="en-US" w:eastAsia="zh-CN" w:bidi="ar"/>
          <w:woUserID w:val="4"/>
        </w:rPr>
        <w:t>超高性能</w:t>
      </w:r>
      <w:r>
        <w:rPr>
          <w:rFonts w:hint="eastAsia" w:ascii="宋体" w:hAnsi="宋体" w:eastAsia="宋体" w:cs="宋体"/>
          <w:color w:val="auto"/>
          <w:kern w:val="0"/>
          <w:sz w:val="21"/>
          <w:szCs w:val="21"/>
          <w:highlight w:val="none"/>
          <w:shd w:val="clear" w:fill="FFFFFF"/>
          <w:lang w:val="en-US" w:eastAsia="zh-CN" w:bidi="ar"/>
          <w:woUserID w:val="4"/>
        </w:rPr>
        <w:t>混凝土试件吸水面单位面积累计毛细吸水的体积。</w:t>
      </w:r>
    </w:p>
    <w:p w14:paraId="37EAFDC0">
      <w:pPr>
        <w:widowControl/>
        <w:shd w:val="clear" w:fill="FFFFFF"/>
        <w:adjustRightInd/>
        <w:spacing w:before="0" w:beforeAutospacing="1" w:after="0" w:afterAutospacing="1" w:line="360" w:lineRule="auto"/>
        <w:ind w:left="0" w:right="0" w:firstLine="0" w:firstLineChars="0"/>
        <w:jc w:val="left"/>
        <w:rPr>
          <w:rFonts w:hint="eastAsia" w:ascii="黑体" w:hAnsi="等线" w:eastAsia="黑体" w:cs="黑体"/>
          <w:color w:val="auto"/>
          <w:kern w:val="2"/>
          <w:sz w:val="22"/>
          <w:szCs w:val="24"/>
          <w:highlight w:val="none"/>
          <w:shd w:val="clear" w:fill="FFFFFF"/>
          <w:woUserID w:val="3"/>
        </w:rPr>
      </w:pPr>
      <w:r>
        <w:rPr>
          <w:rFonts w:hint="eastAsia" w:ascii="黑体" w:eastAsia="黑体"/>
          <w:color w:val="auto"/>
          <w:highlight w:val="none"/>
          <w:woUserID w:val="4"/>
        </w:rPr>
        <w:t>3</w:t>
      </w:r>
      <w:r>
        <w:rPr>
          <w:rFonts w:ascii="黑体" w:eastAsia="黑体"/>
          <w:color w:val="auto"/>
          <w:highlight w:val="none"/>
          <w:woUserID w:val="4"/>
        </w:rPr>
        <w:t>.</w:t>
      </w:r>
      <w:r>
        <w:rPr>
          <w:rFonts w:hint="eastAsia" w:ascii="黑体" w:eastAsia="黑体"/>
          <w:color w:val="auto"/>
          <w:highlight w:val="none"/>
          <w:lang w:val="en-US" w:eastAsia="zh-CN"/>
          <w:woUserID w:val="4"/>
        </w:rPr>
        <w:t>11</w:t>
      </w:r>
      <w:r>
        <w:rPr>
          <w:rFonts w:hint="eastAsia" w:ascii="黑体" w:eastAsia="黑体"/>
          <w:color w:val="auto"/>
          <w:highlight w:val="none"/>
          <w:lang w:eastAsia="zh"/>
          <w:woUserID w:val="4"/>
        </w:rPr>
        <w:t xml:space="preserve"> </w:t>
      </w:r>
      <w:r>
        <w:rPr>
          <w:rFonts w:hint="eastAsia" w:ascii="黑体" w:hAnsi="等线" w:eastAsia="黑体" w:cs="黑体"/>
          <w:color w:val="auto"/>
          <w:kern w:val="2"/>
          <w:sz w:val="22"/>
          <w:szCs w:val="24"/>
          <w:highlight w:val="none"/>
          <w:shd w:val="clear" w:fill="FFFFFF"/>
          <w:lang w:val="en-US" w:eastAsia="zh-CN" w:bidi="ar"/>
          <w:woUserID w:val="3"/>
        </w:rPr>
        <w:t>毛细吸水速率  water aasorption rate</w:t>
      </w:r>
    </w:p>
    <w:p w14:paraId="11E30F18">
      <w:pPr>
        <w:widowControl/>
        <w:shd w:val="clear" w:fill="FFFFFF"/>
        <w:adjustRightInd/>
        <w:spacing w:before="0" w:beforeAutospacing="1" w:after="0" w:afterAutospacing="1" w:line="360" w:lineRule="auto"/>
        <w:ind w:left="0" w:right="0" w:firstLine="420" w:firstLineChars="200"/>
        <w:jc w:val="left"/>
        <w:rPr>
          <w:rFonts w:hint="eastAsia" w:ascii="宋体" w:hAnsi="宋体" w:eastAsia="宋体" w:cs="宋体"/>
          <w:color w:val="auto"/>
          <w:kern w:val="0"/>
          <w:sz w:val="21"/>
          <w:szCs w:val="21"/>
          <w:highlight w:val="none"/>
          <w:shd w:val="clear" w:fill="FFFFFF"/>
          <w:lang w:val="en-US" w:eastAsia="zh-CN" w:bidi="ar"/>
          <w:woUserID w:val="4"/>
        </w:rPr>
      </w:pPr>
      <w:r>
        <w:rPr>
          <w:rFonts w:hint="eastAsia" w:ascii="宋体" w:hAnsi="宋体" w:cs="宋体"/>
          <w:color w:val="auto"/>
          <w:kern w:val="0"/>
          <w:sz w:val="21"/>
          <w:szCs w:val="21"/>
          <w:highlight w:val="none"/>
          <w:shd w:val="clear" w:fill="FFFFFF"/>
          <w:lang w:val="en-US" w:eastAsia="zh-CN" w:bidi="ar"/>
          <w:woUserID w:val="4"/>
        </w:rPr>
        <w:t>超高性能</w:t>
      </w:r>
      <w:r>
        <w:rPr>
          <w:rFonts w:hint="eastAsia" w:ascii="宋体" w:hAnsi="宋体" w:eastAsia="宋体" w:cs="宋体"/>
          <w:color w:val="auto"/>
          <w:kern w:val="0"/>
          <w:sz w:val="21"/>
          <w:szCs w:val="21"/>
          <w:highlight w:val="none"/>
          <w:shd w:val="clear" w:fill="FFFFFF"/>
          <w:lang w:val="en-US" w:eastAsia="zh-CN" w:bidi="ar"/>
          <w:woUserID w:val="4"/>
        </w:rPr>
        <w:t>混凝土试件每单位吸水时间算术平方根的毛细吸水率。</w:t>
      </w:r>
    </w:p>
    <w:p w14:paraId="684AD181">
      <w:pPr>
        <w:kinsoku/>
        <w:overflowPunct/>
        <w:bidi w:val="0"/>
        <w:spacing w:line="360" w:lineRule="auto"/>
        <w:ind w:firstLine="420" w:firstLineChars="200"/>
        <w:rPr>
          <w:rFonts w:hint="eastAsia" w:ascii="Times New Roman" w:hAnsi="Times New Roman"/>
          <w:color w:val="auto"/>
          <w:highlight w:val="none"/>
        </w:rPr>
      </w:pPr>
      <w:r>
        <w:rPr>
          <w:rFonts w:hint="eastAsia" w:ascii="宋体" w:hAnsi="宋体" w:cs="宋体"/>
          <w:color w:val="auto"/>
          <w:kern w:val="0"/>
          <w:sz w:val="21"/>
          <w:szCs w:val="21"/>
          <w:highlight w:val="none"/>
          <w:shd w:val="clear" w:fill="FFFFFF"/>
          <w:lang w:val="en-US" w:eastAsia="zh-CN" w:bidi="ar"/>
          <w:woUserID w:val="4"/>
        </w:rPr>
        <w:t>注：超高性能混凝土的毛细吸水速率以初始毛细吸水速率即以超高性能</w:t>
      </w:r>
      <w:r>
        <w:rPr>
          <w:rFonts w:hint="eastAsia" w:ascii="Times New Roman" w:hAnsi="Times New Roman" w:eastAsia="宋体" w:cs="Times New Roman"/>
          <w:color w:val="auto"/>
          <w:kern w:val="2"/>
          <w:sz w:val="21"/>
          <w:szCs w:val="24"/>
          <w:highlight w:val="none"/>
          <w:shd w:val="clear" w:fill="auto"/>
          <w:lang w:val="en-US" w:eastAsia="zh-CN" w:bidi="ar"/>
          <w:woUserID w:val="0"/>
        </w:rPr>
        <w:t>混凝土</w:t>
      </w:r>
      <w:r>
        <w:rPr>
          <w:rFonts w:hint="eastAsia" w:ascii="宋体" w:hAnsi="宋体" w:eastAsia="宋体" w:cs="宋体"/>
          <w:color w:val="auto"/>
          <w:kern w:val="0"/>
          <w:sz w:val="21"/>
          <w:szCs w:val="21"/>
          <w:highlight w:val="none"/>
          <w:shd w:val="clear" w:fill="FFFFFF"/>
          <w:lang w:val="en-US" w:eastAsia="zh-CN" w:bidi="ar"/>
          <w:woUserID w:val="4"/>
        </w:rPr>
        <w:t>试件在毛细吸水试验初期的毛细吸水速率</w:t>
      </w:r>
      <w:r>
        <w:rPr>
          <w:rFonts w:hint="eastAsia" w:ascii="宋体" w:hAnsi="宋体" w:cs="宋体"/>
          <w:color w:val="auto"/>
          <w:kern w:val="0"/>
          <w:sz w:val="21"/>
          <w:szCs w:val="21"/>
          <w:highlight w:val="none"/>
          <w:shd w:val="clear" w:fill="FFFFFF"/>
          <w:lang w:val="en-US" w:eastAsia="zh-CN" w:bidi="ar"/>
          <w:woUserID w:val="4"/>
        </w:rPr>
        <w:t>表示</w:t>
      </w:r>
      <w:r>
        <w:rPr>
          <w:rFonts w:hint="eastAsia" w:ascii="宋体" w:hAnsi="宋体" w:eastAsia="宋体" w:cs="宋体"/>
          <w:color w:val="auto"/>
          <w:kern w:val="0"/>
          <w:sz w:val="21"/>
          <w:szCs w:val="21"/>
          <w:highlight w:val="none"/>
          <w:shd w:val="clear" w:fill="FFFFFF"/>
          <w:lang w:val="en-US" w:eastAsia="zh-CN" w:bidi="ar"/>
          <w:woUserID w:val="4"/>
        </w:rPr>
        <w:t>。</w:t>
      </w:r>
    </w:p>
    <w:p w14:paraId="78FE09AC">
      <w:pPr>
        <w:pStyle w:val="64"/>
        <w:spacing w:before="312" w:beforeLines="100" w:after="312" w:afterLines="100" w:line="360" w:lineRule="auto"/>
        <w:outlineLvl w:val="0"/>
        <w:rPr>
          <w:color w:val="auto"/>
          <w:szCs w:val="20"/>
          <w:highlight w:val="none"/>
        </w:rPr>
      </w:pPr>
      <w:bookmarkStart w:id="7" w:name="_Toc15136"/>
      <w:r>
        <w:rPr>
          <w:rFonts w:hint="eastAsia"/>
          <w:color w:val="auto"/>
          <w:highlight w:val="none"/>
        </w:rPr>
        <w:t xml:space="preserve">4  </w:t>
      </w:r>
      <w:r>
        <w:rPr>
          <w:rFonts w:hint="default"/>
          <w:color w:val="auto"/>
          <w:highlight w:val="none"/>
        </w:rPr>
        <w:t>取样与试件制备</w:t>
      </w:r>
      <w:bookmarkEnd w:id="7"/>
    </w:p>
    <w:p w14:paraId="3A544594">
      <w:pPr>
        <w:pStyle w:val="65"/>
        <w:kinsoku/>
        <w:overflowPunct/>
        <w:bidi w:val="0"/>
        <w:spacing w:before="156" w:beforeLines="50" w:after="156" w:afterLines="50" w:line="360" w:lineRule="auto"/>
        <w:outlineLvl w:val="1"/>
        <w:rPr>
          <w:color w:val="auto"/>
          <w:highlight w:val="none"/>
        </w:rPr>
      </w:pPr>
      <w:bookmarkStart w:id="8" w:name="_Toc23548"/>
      <w:r>
        <w:rPr>
          <w:rFonts w:hint="eastAsia"/>
          <w:color w:val="auto"/>
          <w:highlight w:val="none"/>
        </w:rPr>
        <w:t>4.</w:t>
      </w:r>
      <w:r>
        <w:rPr>
          <w:rFonts w:hint="eastAsia" w:eastAsia="宋体"/>
          <w:strike w:val="0"/>
          <w:color w:val="auto"/>
          <w:kern w:val="2"/>
          <w:szCs w:val="21"/>
          <w:highlight w:val="none"/>
          <w:lang w:val="en-US" w:eastAsia="zh-CN"/>
        </w:rPr>
        <w:t>1</w:t>
      </w:r>
      <w:r>
        <w:rPr>
          <w:rFonts w:hint="eastAsia"/>
          <w:color w:val="auto"/>
          <w:highlight w:val="none"/>
        </w:rPr>
        <w:t xml:space="preserve"> 取样</w:t>
      </w:r>
      <w:bookmarkEnd w:id="8"/>
    </w:p>
    <w:p w14:paraId="4DFE06EC">
      <w:pPr>
        <w:widowControl/>
        <w:kinsoku/>
        <w:overflowPunct/>
        <w:bidi w:val="0"/>
        <w:spacing w:line="360" w:lineRule="auto"/>
        <w:jc w:val="left"/>
        <w:rPr>
          <w:color w:val="auto"/>
          <w:kern w:val="0"/>
          <w:szCs w:val="20"/>
          <w:highlight w:val="none"/>
        </w:rPr>
      </w:pPr>
      <w:r>
        <w:rPr>
          <w:rFonts w:hint="eastAsia"/>
          <w:color w:val="auto"/>
          <w:kern w:val="0"/>
          <w:sz w:val="22"/>
          <w:szCs w:val="22"/>
          <w:highlight w:val="none"/>
          <w:lang w:bidi="ar"/>
        </w:rPr>
        <w:t>4.</w:t>
      </w:r>
      <w:r>
        <w:rPr>
          <w:rFonts w:hint="eastAsia"/>
          <w:strike w:val="0"/>
          <w:color w:val="auto"/>
          <w:szCs w:val="21"/>
          <w:highlight w:val="none"/>
          <w:lang w:val="en-US" w:eastAsia="zh-CN"/>
        </w:rPr>
        <w:t>1</w:t>
      </w:r>
      <w:r>
        <w:rPr>
          <w:rFonts w:hint="eastAsia"/>
          <w:color w:val="auto"/>
          <w:kern w:val="0"/>
          <w:sz w:val="22"/>
          <w:szCs w:val="22"/>
          <w:highlight w:val="none"/>
          <w:lang w:bidi="ar"/>
        </w:rPr>
        <w:t xml:space="preserve">.1 </w:t>
      </w:r>
      <w:r>
        <w:rPr>
          <w:color w:val="auto"/>
          <w:kern w:val="0"/>
          <w:szCs w:val="20"/>
          <w:highlight w:val="none"/>
        </w:rPr>
        <w:t>超高性能混凝土</w:t>
      </w:r>
      <w:r>
        <w:rPr>
          <w:rFonts w:hint="eastAsia"/>
          <w:color w:val="auto"/>
          <w:kern w:val="0"/>
          <w:szCs w:val="20"/>
          <w:highlight w:val="none"/>
        </w:rPr>
        <w:t>工程施工中的取样应符合</w:t>
      </w:r>
      <w:r>
        <w:rPr>
          <w:color w:val="auto"/>
          <w:kern w:val="0"/>
          <w:szCs w:val="20"/>
          <w:highlight w:val="none"/>
        </w:rPr>
        <w:t>GB 50204</w:t>
      </w:r>
      <w:r>
        <w:rPr>
          <w:rFonts w:hint="eastAsia"/>
          <w:color w:val="auto"/>
          <w:kern w:val="0"/>
          <w:szCs w:val="20"/>
          <w:highlight w:val="none"/>
        </w:rPr>
        <w:t>的有关规定；</w:t>
      </w:r>
    </w:p>
    <w:p w14:paraId="255C6281">
      <w:pPr>
        <w:widowControl/>
        <w:kinsoku/>
        <w:overflowPunct/>
        <w:bidi w:val="0"/>
        <w:spacing w:line="360" w:lineRule="auto"/>
        <w:jc w:val="left"/>
        <w:rPr>
          <w:color w:val="auto"/>
          <w:kern w:val="0"/>
          <w:szCs w:val="20"/>
          <w:highlight w:val="none"/>
        </w:rPr>
      </w:pPr>
      <w:r>
        <w:rPr>
          <w:rFonts w:hint="eastAsia"/>
          <w:color w:val="auto"/>
          <w:kern w:val="0"/>
          <w:szCs w:val="20"/>
          <w:highlight w:val="none"/>
        </w:rPr>
        <w:t>4</w:t>
      </w:r>
      <w:r>
        <w:rPr>
          <w:rFonts w:hint="eastAsia"/>
          <w:strike w:val="0"/>
          <w:color w:val="auto"/>
          <w:kern w:val="0"/>
          <w:szCs w:val="20"/>
          <w:highlight w:val="none"/>
        </w:rPr>
        <w:t>.</w:t>
      </w:r>
      <w:r>
        <w:rPr>
          <w:rFonts w:hint="eastAsia"/>
          <w:strike w:val="0"/>
          <w:color w:val="auto"/>
          <w:szCs w:val="21"/>
          <w:highlight w:val="none"/>
          <w:lang w:val="en-US" w:eastAsia="zh-CN"/>
        </w:rPr>
        <w:t>1</w:t>
      </w:r>
      <w:r>
        <w:rPr>
          <w:rFonts w:hint="eastAsia"/>
          <w:color w:val="auto"/>
          <w:kern w:val="0"/>
          <w:szCs w:val="20"/>
          <w:highlight w:val="none"/>
        </w:rPr>
        <w:t>.2 浇筑成型的</w:t>
      </w:r>
      <w:r>
        <w:rPr>
          <w:color w:val="auto"/>
          <w:kern w:val="0"/>
          <w:szCs w:val="20"/>
          <w:highlight w:val="none"/>
        </w:rPr>
        <w:t>超高性能混凝土</w:t>
      </w:r>
      <w:r>
        <w:rPr>
          <w:rFonts w:hint="eastAsia"/>
          <w:color w:val="auto"/>
          <w:kern w:val="0"/>
          <w:szCs w:val="20"/>
          <w:highlight w:val="none"/>
        </w:rPr>
        <w:t>施工现场拌合物取样应从同一次搅拌或同一车运送的</w:t>
      </w:r>
      <w:r>
        <w:rPr>
          <w:color w:val="auto"/>
          <w:kern w:val="0"/>
          <w:szCs w:val="20"/>
          <w:highlight w:val="none"/>
        </w:rPr>
        <w:t>超高性能混凝土中取出，取样量不应小于试样需要量的1.5倍，且不宜小于20 L。</w:t>
      </w:r>
    </w:p>
    <w:p w14:paraId="643BAF60">
      <w:pPr>
        <w:pStyle w:val="65"/>
        <w:kinsoku/>
        <w:overflowPunct/>
        <w:bidi w:val="0"/>
        <w:spacing w:before="156" w:beforeLines="50" w:after="156" w:afterLines="50" w:line="360" w:lineRule="auto"/>
        <w:outlineLvl w:val="1"/>
        <w:rPr>
          <w:color w:val="auto"/>
          <w:highlight w:val="none"/>
        </w:rPr>
      </w:pPr>
      <w:bookmarkStart w:id="9" w:name="_Toc17122"/>
      <w:r>
        <w:rPr>
          <w:rFonts w:hint="eastAsia"/>
          <w:color w:val="auto"/>
          <w:highlight w:val="none"/>
        </w:rPr>
        <w:t>4.</w:t>
      </w:r>
      <w:r>
        <w:rPr>
          <w:rFonts w:hint="eastAsia" w:eastAsia="宋体"/>
          <w:strike w:val="0"/>
          <w:color w:val="auto"/>
          <w:kern w:val="2"/>
          <w:szCs w:val="21"/>
          <w:highlight w:val="none"/>
          <w:lang w:val="en-US" w:eastAsia="zh-CN"/>
        </w:rPr>
        <w:t>2</w:t>
      </w:r>
      <w:r>
        <w:rPr>
          <w:rFonts w:hint="eastAsia"/>
          <w:color w:val="auto"/>
          <w:highlight w:val="none"/>
        </w:rPr>
        <w:t xml:space="preserve"> 试件制备</w:t>
      </w:r>
      <w:bookmarkEnd w:id="9"/>
    </w:p>
    <w:p w14:paraId="2B66E6DA">
      <w:pPr>
        <w:widowControl/>
        <w:kinsoku/>
        <w:overflowPunct/>
        <w:bidi w:val="0"/>
        <w:spacing w:line="360" w:lineRule="auto"/>
        <w:ind w:firstLine="0" w:firstLineChars="0"/>
        <w:jc w:val="left"/>
        <w:rPr>
          <w:color w:val="auto"/>
          <w:kern w:val="0"/>
          <w:szCs w:val="20"/>
          <w:highlight w:val="none"/>
        </w:rPr>
      </w:pPr>
      <w:r>
        <w:rPr>
          <w:rFonts w:hint="eastAsia"/>
          <w:color w:val="auto"/>
          <w:kern w:val="0"/>
          <w:szCs w:val="20"/>
          <w:highlight w:val="none"/>
          <w:lang w:val="en-US" w:eastAsia="zh-CN"/>
        </w:rPr>
        <w:t xml:space="preserve">4.2.1 </w:t>
      </w:r>
      <w:r>
        <w:rPr>
          <w:color w:val="auto"/>
          <w:kern w:val="0"/>
          <w:szCs w:val="20"/>
          <w:highlight w:val="none"/>
        </w:rPr>
        <w:t>超高性能混凝土试件制作时，宜从试模的一侧开始浇筑，将拌合物一次性装入试模，并略高出试模上口。</w:t>
      </w:r>
    </w:p>
    <w:p w14:paraId="303B1775">
      <w:pPr>
        <w:widowControl/>
        <w:kinsoku/>
        <w:overflowPunct/>
        <w:bidi w:val="0"/>
        <w:spacing w:line="360" w:lineRule="auto"/>
        <w:ind w:firstLine="0" w:firstLineChars="0"/>
        <w:jc w:val="left"/>
        <w:rPr>
          <w:color w:val="auto"/>
          <w:kern w:val="0"/>
          <w:szCs w:val="20"/>
          <w:highlight w:val="none"/>
        </w:rPr>
      </w:pPr>
      <w:r>
        <w:rPr>
          <w:rFonts w:hint="eastAsia"/>
          <w:color w:val="auto"/>
          <w:kern w:val="0"/>
          <w:szCs w:val="20"/>
          <w:highlight w:val="none"/>
          <w:lang w:val="en-US" w:eastAsia="zh-CN"/>
        </w:rPr>
        <w:t xml:space="preserve">4.2.2 </w:t>
      </w:r>
      <w:r>
        <w:rPr>
          <w:color w:val="auto"/>
          <w:kern w:val="0"/>
          <w:szCs w:val="20"/>
          <w:highlight w:val="none"/>
        </w:rPr>
        <w:t>对于扩展度大于650mm的超高性能混凝土拌合物，浇筑后可用橡皮锤轻敲试模侧壁排除气泡。对于扩展度</w:t>
      </w:r>
      <w:r>
        <w:rPr>
          <w:rFonts w:hint="eastAsia"/>
          <w:color w:val="auto"/>
          <w:kern w:val="0"/>
          <w:szCs w:val="20"/>
          <w:highlight w:val="none"/>
          <w:lang w:eastAsia="zh"/>
          <w:woUserID w:val="1"/>
        </w:rPr>
        <w:t>不大</w:t>
      </w:r>
      <w:r>
        <w:rPr>
          <w:color w:val="auto"/>
          <w:kern w:val="0"/>
          <w:szCs w:val="20"/>
          <w:highlight w:val="none"/>
        </w:rPr>
        <w:t>于650mm的超高性能混凝土拌合物，可根据需要将试模置于振动台上振动以排除气泡，振动时间宜为10s~15s。成型过程中不得进行插捣。成型密实后刮去试模表面多余的拌合物并用抹刀抹平。棱柱体及小梁试件应采用卧式成型。</w:t>
      </w:r>
    </w:p>
    <w:p w14:paraId="60C3DEC6">
      <w:pPr>
        <w:widowControl/>
        <w:kinsoku/>
        <w:overflowPunct/>
        <w:bidi w:val="0"/>
        <w:spacing w:line="360" w:lineRule="auto"/>
        <w:ind w:firstLine="0" w:firstLineChars="0"/>
        <w:jc w:val="left"/>
        <w:rPr>
          <w:color w:val="auto"/>
          <w:kern w:val="0"/>
          <w:szCs w:val="20"/>
          <w:highlight w:val="none"/>
        </w:rPr>
      </w:pPr>
      <w:r>
        <w:rPr>
          <w:rFonts w:hint="eastAsia"/>
          <w:color w:val="auto"/>
          <w:kern w:val="0"/>
          <w:szCs w:val="20"/>
          <w:highlight w:val="none"/>
          <w:lang w:val="en-US" w:eastAsia="zh-CN"/>
        </w:rPr>
        <w:t xml:space="preserve">4.2.3 </w:t>
      </w:r>
      <w:r>
        <w:rPr>
          <w:color w:val="auto"/>
          <w:kern w:val="0"/>
          <w:szCs w:val="20"/>
          <w:highlight w:val="none"/>
        </w:rPr>
        <w:t>用以检验或控制工程质量的试件，其成型方法宜与实际施工采用的方法相同。</w:t>
      </w:r>
    </w:p>
    <w:p w14:paraId="48BE8506">
      <w:pPr>
        <w:widowControl/>
        <w:kinsoku/>
        <w:overflowPunct/>
        <w:bidi w:val="0"/>
        <w:spacing w:line="360" w:lineRule="auto"/>
        <w:ind w:firstLine="0" w:firstLineChars="0"/>
        <w:jc w:val="left"/>
        <w:rPr>
          <w:rFonts w:hint="default" w:eastAsia="宋体"/>
          <w:color w:val="auto"/>
          <w:kern w:val="0"/>
          <w:szCs w:val="20"/>
          <w:highlight w:val="none"/>
          <w:lang w:val="en-US" w:eastAsia="zh-CN"/>
        </w:rPr>
      </w:pPr>
      <w:r>
        <w:rPr>
          <w:rFonts w:hint="eastAsia"/>
          <w:color w:val="auto"/>
          <w:kern w:val="0"/>
          <w:szCs w:val="20"/>
          <w:highlight w:val="none"/>
          <w:lang w:val="en-US" w:eastAsia="zh-CN"/>
        </w:rPr>
        <w:t xml:space="preserve">4.2.4 </w:t>
      </w:r>
      <w:r>
        <w:rPr>
          <w:rFonts w:hint="eastAsia"/>
          <w:color w:val="auto"/>
          <w:szCs w:val="21"/>
          <w:highlight w:val="none"/>
        </w:rPr>
        <w:t>试模应符合JG 237的有关规定。应定期对试模进行核查，核查周期不宜超过三个月。</w:t>
      </w:r>
    </w:p>
    <w:p w14:paraId="2BF93F43">
      <w:pPr>
        <w:pStyle w:val="65"/>
        <w:kinsoku/>
        <w:overflowPunct/>
        <w:bidi w:val="0"/>
        <w:spacing w:before="156" w:beforeLines="50" w:after="156" w:afterLines="50" w:line="360" w:lineRule="auto"/>
        <w:outlineLvl w:val="1"/>
        <w:rPr>
          <w:color w:val="auto"/>
          <w:highlight w:val="none"/>
        </w:rPr>
      </w:pPr>
      <w:bookmarkStart w:id="10" w:name="_Toc499224256"/>
      <w:bookmarkStart w:id="11" w:name="_Toc16588"/>
      <w:bookmarkStart w:id="12" w:name="_Toc480214995"/>
      <w:bookmarkStart w:id="13" w:name="_Toc7280"/>
      <w:bookmarkStart w:id="14" w:name="OLE_LINK1"/>
      <w:bookmarkStart w:id="15" w:name="OLE_LINK2"/>
      <w:r>
        <w:rPr>
          <w:rFonts w:hint="eastAsia"/>
          <w:color w:val="auto"/>
          <w:highlight w:val="none"/>
        </w:rPr>
        <w:t>4.</w:t>
      </w:r>
      <w:r>
        <w:rPr>
          <w:rFonts w:hint="eastAsia"/>
          <w:color w:val="auto"/>
          <w:highlight w:val="none"/>
          <w:lang w:val="en-US" w:eastAsia="zh-CN"/>
        </w:rPr>
        <w:t>3</w:t>
      </w:r>
      <w:r>
        <w:rPr>
          <w:rFonts w:hint="eastAsia"/>
          <w:color w:val="auto"/>
          <w:highlight w:val="none"/>
        </w:rPr>
        <w:t xml:space="preserve"> </w:t>
      </w:r>
      <w:r>
        <w:rPr>
          <w:rFonts w:hint="eastAsia"/>
          <w:color w:val="auto"/>
          <w:highlight w:val="none"/>
          <w:lang w:val="en-US" w:eastAsia="zh-CN"/>
        </w:rPr>
        <w:t>力学性能与耐久性能</w:t>
      </w:r>
      <w:r>
        <w:rPr>
          <w:rFonts w:hint="eastAsia"/>
          <w:color w:val="auto"/>
          <w:highlight w:val="none"/>
        </w:rPr>
        <w:t>试件的尺寸测量与公差</w:t>
      </w:r>
      <w:bookmarkEnd w:id="10"/>
      <w:bookmarkEnd w:id="11"/>
      <w:bookmarkEnd w:id="12"/>
      <w:bookmarkEnd w:id="13"/>
    </w:p>
    <w:p w14:paraId="13FCB3A0">
      <w:pPr>
        <w:kinsoku/>
        <w:overflowPunct/>
        <w:bidi w:val="0"/>
        <w:spacing w:before="156" w:beforeLines="50" w:line="360" w:lineRule="auto"/>
        <w:rPr>
          <w:color w:val="auto"/>
          <w:szCs w:val="21"/>
          <w:highlight w:val="none"/>
          <w:lang w:val="nb-NO"/>
        </w:rPr>
      </w:pPr>
      <w:r>
        <w:rPr>
          <w:color w:val="auto"/>
          <w:szCs w:val="21"/>
          <w:highlight w:val="none"/>
          <w:lang w:val="nb-NO"/>
        </w:rPr>
        <w:t>4.</w:t>
      </w:r>
      <w:r>
        <w:rPr>
          <w:rFonts w:hint="eastAsia"/>
          <w:color w:val="auto"/>
          <w:szCs w:val="21"/>
          <w:highlight w:val="none"/>
          <w:lang w:val="en-US" w:eastAsia="zh-CN"/>
        </w:rPr>
        <w:t>3</w:t>
      </w:r>
      <w:r>
        <w:rPr>
          <w:color w:val="auto"/>
          <w:szCs w:val="21"/>
          <w:highlight w:val="none"/>
          <w:lang w:val="nb-NO"/>
        </w:rPr>
        <w:t xml:space="preserve">.1 </w:t>
      </w:r>
      <w:r>
        <w:rPr>
          <w:rFonts w:hint="eastAsia"/>
          <w:color w:val="auto"/>
          <w:szCs w:val="21"/>
          <w:highlight w:val="none"/>
          <w:lang w:val="nb-NO"/>
        </w:rPr>
        <w:t>试件尺寸测量应符合下列规定：</w:t>
      </w:r>
    </w:p>
    <w:p w14:paraId="6083C323">
      <w:pPr>
        <w:kinsoku/>
        <w:overflowPunct/>
        <w:bidi w:val="0"/>
        <w:spacing w:before="156" w:beforeLines="50" w:line="360" w:lineRule="auto"/>
        <w:ind w:firstLine="420" w:firstLineChars="200"/>
        <w:rPr>
          <w:color w:val="auto"/>
          <w:szCs w:val="21"/>
          <w:highlight w:val="none"/>
          <w:lang w:val="nb-NO"/>
        </w:rPr>
      </w:pPr>
      <w:r>
        <w:rPr>
          <w:color w:val="auto"/>
          <w:szCs w:val="21"/>
          <w:highlight w:val="none"/>
          <w:lang w:val="nb-NO"/>
        </w:rPr>
        <w:t xml:space="preserve">1 </w:t>
      </w:r>
      <w:r>
        <w:rPr>
          <w:rFonts w:hint="eastAsia"/>
          <w:color w:val="auto"/>
          <w:szCs w:val="21"/>
          <w:highlight w:val="none"/>
          <w:lang w:val="nb-NO"/>
        </w:rPr>
        <w:t>试件的边长和高度宜采用游标卡尺进行测量，应精确至</w:t>
      </w:r>
      <w:r>
        <w:rPr>
          <w:color w:val="auto"/>
          <w:szCs w:val="21"/>
          <w:highlight w:val="none"/>
          <w:lang w:val="nb-NO"/>
        </w:rPr>
        <w:t>0.1mm</w:t>
      </w:r>
      <w:r>
        <w:rPr>
          <w:rFonts w:hint="eastAsia"/>
          <w:color w:val="auto"/>
          <w:szCs w:val="21"/>
          <w:highlight w:val="none"/>
          <w:lang w:val="nb-NO"/>
        </w:rPr>
        <w:t>；</w:t>
      </w:r>
    </w:p>
    <w:p w14:paraId="39E1F087">
      <w:pPr>
        <w:kinsoku/>
        <w:overflowPunct/>
        <w:bidi w:val="0"/>
        <w:spacing w:before="156" w:beforeLines="50" w:line="360" w:lineRule="auto"/>
        <w:ind w:left="630" w:leftChars="200" w:hanging="210" w:hangingChars="100"/>
        <w:rPr>
          <w:color w:val="auto"/>
          <w:szCs w:val="21"/>
          <w:highlight w:val="none"/>
          <w:lang w:val="nb-NO"/>
        </w:rPr>
      </w:pPr>
      <w:r>
        <w:rPr>
          <w:color w:val="auto"/>
          <w:szCs w:val="21"/>
          <w:highlight w:val="none"/>
          <w:lang w:val="nb-NO"/>
        </w:rPr>
        <w:t xml:space="preserve">2 </w:t>
      </w:r>
      <w:r>
        <w:rPr>
          <w:rFonts w:hint="eastAsia"/>
          <w:color w:val="auto"/>
          <w:szCs w:val="21"/>
          <w:highlight w:val="none"/>
          <w:lang w:val="nb-NO"/>
        </w:rPr>
        <w:t>圆柱形试件的直径应采用游标卡尺分别在试件的上部、中部和下部相互垂直的两个位置上共测量</w:t>
      </w:r>
      <w:r>
        <w:rPr>
          <w:color w:val="auto"/>
          <w:szCs w:val="21"/>
          <w:highlight w:val="none"/>
          <w:lang w:val="nb-NO"/>
        </w:rPr>
        <w:t>6</w:t>
      </w:r>
      <w:r>
        <w:rPr>
          <w:rFonts w:hint="eastAsia"/>
          <w:color w:val="auto"/>
          <w:szCs w:val="21"/>
          <w:highlight w:val="none"/>
          <w:lang w:val="nb-NO"/>
        </w:rPr>
        <w:t>次，取测量的算术平均值作为直径值，精确至</w:t>
      </w:r>
      <w:r>
        <w:rPr>
          <w:color w:val="auto"/>
          <w:szCs w:val="21"/>
          <w:highlight w:val="none"/>
          <w:lang w:val="nb-NO"/>
        </w:rPr>
        <w:t>0.1mm</w:t>
      </w:r>
      <w:r>
        <w:rPr>
          <w:rFonts w:hint="eastAsia"/>
          <w:color w:val="auto"/>
          <w:szCs w:val="21"/>
          <w:highlight w:val="none"/>
          <w:lang w:val="nb-NO"/>
        </w:rPr>
        <w:t>；</w:t>
      </w:r>
    </w:p>
    <w:p w14:paraId="2BD54A94">
      <w:pPr>
        <w:kinsoku/>
        <w:overflowPunct/>
        <w:bidi w:val="0"/>
        <w:spacing w:before="156" w:beforeLines="50" w:line="360" w:lineRule="auto"/>
        <w:ind w:left="630" w:leftChars="200" w:hanging="210" w:hangingChars="100"/>
        <w:rPr>
          <w:color w:val="auto"/>
          <w:szCs w:val="21"/>
          <w:highlight w:val="none"/>
          <w:lang w:val="nb-NO"/>
        </w:rPr>
      </w:pPr>
      <w:r>
        <w:rPr>
          <w:color w:val="auto"/>
          <w:szCs w:val="21"/>
          <w:highlight w:val="none"/>
          <w:lang w:val="nb-NO"/>
        </w:rPr>
        <w:t xml:space="preserve">3 </w:t>
      </w:r>
      <w:r>
        <w:rPr>
          <w:rFonts w:hint="eastAsia"/>
          <w:color w:val="auto"/>
          <w:szCs w:val="21"/>
          <w:highlight w:val="none"/>
          <w:lang w:val="nb-NO"/>
        </w:rPr>
        <w:t>试件承压面的平面度可采用钢板尺和塞尺进行测量。测量时，应将钢板尺立起横放在试件承压面上，然后慢慢旋转</w:t>
      </w:r>
      <w:r>
        <w:rPr>
          <w:color w:val="auto"/>
          <w:szCs w:val="21"/>
          <w:highlight w:val="none"/>
          <w:lang w:val="nb-NO"/>
        </w:rPr>
        <w:t>360</w:t>
      </w:r>
      <w:r>
        <w:rPr>
          <w:rFonts w:hint="eastAsia"/>
          <w:color w:val="auto"/>
          <w:szCs w:val="21"/>
          <w:highlight w:val="none"/>
          <w:lang w:val="nb-NO"/>
        </w:rPr>
        <w:t>°，再用塞尺测量其最大间隙作为平面度值，也可采用其他专用设备测量，结果精确至0.01mm；</w:t>
      </w:r>
    </w:p>
    <w:p w14:paraId="309AD9F2">
      <w:pPr>
        <w:kinsoku/>
        <w:overflowPunct/>
        <w:bidi w:val="0"/>
        <w:spacing w:before="156" w:beforeLines="50" w:line="360" w:lineRule="auto"/>
        <w:ind w:firstLine="420" w:firstLineChars="200"/>
        <w:rPr>
          <w:color w:val="auto"/>
          <w:szCs w:val="21"/>
          <w:highlight w:val="none"/>
          <w:lang w:val="nb-NO"/>
        </w:rPr>
      </w:pPr>
      <w:r>
        <w:rPr>
          <w:color w:val="auto"/>
          <w:szCs w:val="21"/>
          <w:highlight w:val="none"/>
          <w:lang w:val="nb-NO"/>
        </w:rPr>
        <w:t>4</w:t>
      </w:r>
      <w:r>
        <w:rPr>
          <w:rFonts w:hint="eastAsia"/>
          <w:color w:val="auto"/>
          <w:szCs w:val="21"/>
          <w:highlight w:val="none"/>
          <w:lang w:val="nb-NO"/>
        </w:rPr>
        <w:t xml:space="preserve"> 试件相邻面间的夹角应采用游标量角器进行测量，应精确至0.1</w:t>
      </w:r>
      <w:r>
        <w:rPr>
          <w:color w:val="auto"/>
          <w:szCs w:val="21"/>
          <w:highlight w:val="none"/>
          <w:lang w:val="nb-NO"/>
        </w:rPr>
        <w:t>°</w:t>
      </w:r>
      <w:r>
        <w:rPr>
          <w:rFonts w:hint="eastAsia"/>
          <w:color w:val="auto"/>
          <w:szCs w:val="21"/>
          <w:highlight w:val="none"/>
          <w:lang w:val="nb-NO"/>
        </w:rPr>
        <w:t>。</w:t>
      </w:r>
    </w:p>
    <w:p w14:paraId="3FA7EC03">
      <w:pPr>
        <w:kinsoku/>
        <w:overflowPunct/>
        <w:bidi w:val="0"/>
        <w:spacing w:before="156" w:beforeLines="50" w:line="360" w:lineRule="auto"/>
        <w:rPr>
          <w:color w:val="auto"/>
          <w:szCs w:val="21"/>
          <w:highlight w:val="none"/>
          <w:lang w:val="nb-NO"/>
        </w:rPr>
      </w:pPr>
      <w:r>
        <w:rPr>
          <w:color w:val="auto"/>
          <w:szCs w:val="21"/>
          <w:highlight w:val="none"/>
          <w:lang w:val="nb-NO"/>
        </w:rPr>
        <w:t>4.</w:t>
      </w:r>
      <w:r>
        <w:rPr>
          <w:rFonts w:hint="eastAsia"/>
          <w:color w:val="auto"/>
          <w:szCs w:val="21"/>
          <w:highlight w:val="none"/>
          <w:lang w:val="en-US" w:eastAsia="zh-CN"/>
        </w:rPr>
        <w:t>3</w:t>
      </w:r>
      <w:r>
        <w:rPr>
          <w:color w:val="auto"/>
          <w:szCs w:val="21"/>
          <w:highlight w:val="none"/>
          <w:lang w:val="nb-NO"/>
        </w:rPr>
        <w:t>.2 试件各边长、直径和高的尺寸公差不得超过lmm。</w:t>
      </w:r>
    </w:p>
    <w:p w14:paraId="2815F36D">
      <w:pPr>
        <w:kinsoku/>
        <w:overflowPunct/>
        <w:bidi w:val="0"/>
        <w:spacing w:before="156" w:beforeLines="50" w:line="360" w:lineRule="auto"/>
        <w:rPr>
          <w:color w:val="auto"/>
          <w:szCs w:val="21"/>
          <w:highlight w:val="none"/>
        </w:rPr>
      </w:pPr>
      <w:r>
        <w:rPr>
          <w:color w:val="auto"/>
          <w:szCs w:val="21"/>
          <w:highlight w:val="none"/>
          <w:lang w:val="nb-NO"/>
        </w:rPr>
        <w:t>4.</w:t>
      </w:r>
      <w:r>
        <w:rPr>
          <w:rFonts w:hint="eastAsia"/>
          <w:color w:val="auto"/>
          <w:szCs w:val="21"/>
          <w:highlight w:val="none"/>
          <w:lang w:val="en-US" w:eastAsia="zh-CN"/>
        </w:rPr>
        <w:t>3</w:t>
      </w:r>
      <w:r>
        <w:rPr>
          <w:color w:val="auto"/>
          <w:szCs w:val="21"/>
          <w:highlight w:val="none"/>
          <w:lang w:val="nb-NO"/>
        </w:rPr>
        <w:t>.3 试件承压面的平面度公差不得超过0.0005d</w:t>
      </w:r>
      <w:r>
        <w:rPr>
          <w:rFonts w:hint="eastAsia"/>
          <w:color w:val="auto"/>
          <w:szCs w:val="21"/>
          <w:highlight w:val="none"/>
          <w:lang w:val="nb-NO"/>
        </w:rPr>
        <w:t>，</w:t>
      </w:r>
      <w:r>
        <w:rPr>
          <w:color w:val="auto"/>
          <w:szCs w:val="21"/>
          <w:highlight w:val="none"/>
          <w:lang w:val="nb-NO"/>
        </w:rPr>
        <w:t>d为</w:t>
      </w:r>
      <w:r>
        <w:rPr>
          <w:rFonts w:hint="eastAsia"/>
          <w:color w:val="auto"/>
          <w:szCs w:val="21"/>
          <w:highlight w:val="none"/>
          <w:lang w:val="nb-NO"/>
        </w:rPr>
        <w:t>试件</w:t>
      </w:r>
      <w:r>
        <w:rPr>
          <w:color w:val="auto"/>
          <w:szCs w:val="21"/>
          <w:highlight w:val="none"/>
          <w:lang w:val="nb-NO"/>
        </w:rPr>
        <w:t>边长。</w:t>
      </w:r>
    </w:p>
    <w:p w14:paraId="6D28693F">
      <w:pPr>
        <w:kinsoku/>
        <w:overflowPunct/>
        <w:bidi w:val="0"/>
        <w:spacing w:before="156" w:beforeLines="50" w:line="360" w:lineRule="auto"/>
        <w:rPr>
          <w:color w:val="auto"/>
          <w:szCs w:val="21"/>
          <w:highlight w:val="none"/>
          <w:lang w:val="nb-NO"/>
        </w:rPr>
      </w:pPr>
      <w:r>
        <w:rPr>
          <w:color w:val="auto"/>
          <w:szCs w:val="21"/>
          <w:highlight w:val="none"/>
          <w:lang w:val="nb-NO"/>
        </w:rPr>
        <w:t>4.</w:t>
      </w:r>
      <w:r>
        <w:rPr>
          <w:rFonts w:hint="eastAsia"/>
          <w:color w:val="auto"/>
          <w:szCs w:val="21"/>
          <w:highlight w:val="none"/>
          <w:lang w:val="en-US" w:eastAsia="zh-CN"/>
        </w:rPr>
        <w:t>3</w:t>
      </w:r>
      <w:r>
        <w:rPr>
          <w:color w:val="auto"/>
          <w:szCs w:val="21"/>
          <w:highlight w:val="none"/>
          <w:lang w:val="nb-NO"/>
        </w:rPr>
        <w:t>.4 试件相邻面间的夹角应为90°，其公差不得超过0.5°。</w:t>
      </w:r>
    </w:p>
    <w:bookmarkEnd w:id="14"/>
    <w:bookmarkEnd w:id="15"/>
    <w:p w14:paraId="6B630B10">
      <w:pPr>
        <w:kinsoku/>
        <w:overflowPunct/>
        <w:bidi w:val="0"/>
        <w:spacing w:before="156" w:beforeLines="50" w:line="360" w:lineRule="auto"/>
        <w:rPr>
          <w:color w:val="auto"/>
          <w:kern w:val="0"/>
          <w:szCs w:val="20"/>
          <w:highlight w:val="none"/>
        </w:rPr>
      </w:pPr>
      <w:r>
        <w:rPr>
          <w:color w:val="auto"/>
          <w:szCs w:val="21"/>
          <w:highlight w:val="none"/>
          <w:lang w:val="nb-NO"/>
        </w:rPr>
        <w:t>4.</w:t>
      </w:r>
      <w:r>
        <w:rPr>
          <w:rFonts w:hint="eastAsia"/>
          <w:color w:val="auto"/>
          <w:szCs w:val="21"/>
          <w:highlight w:val="none"/>
          <w:lang w:val="en-US" w:eastAsia="zh-CN"/>
        </w:rPr>
        <w:t>3</w:t>
      </w:r>
      <w:r>
        <w:rPr>
          <w:color w:val="auto"/>
          <w:szCs w:val="21"/>
          <w:highlight w:val="none"/>
          <w:lang w:val="nb-NO"/>
        </w:rPr>
        <w:t xml:space="preserve">.5 </w:t>
      </w:r>
      <w:r>
        <w:rPr>
          <w:rFonts w:hint="eastAsia"/>
          <w:color w:val="auto"/>
          <w:szCs w:val="21"/>
          <w:highlight w:val="none"/>
          <w:lang w:val="nb-NO"/>
        </w:rPr>
        <w:t>试件制作时应采用符合标准要求的试模和精确安装试模，并应保证试件的尺寸公差满足要求。</w:t>
      </w:r>
    </w:p>
    <w:p w14:paraId="2FA489D0">
      <w:pPr>
        <w:kinsoku/>
        <w:overflowPunct/>
        <w:bidi w:val="0"/>
        <w:spacing w:line="360" w:lineRule="auto"/>
        <w:outlineLvl w:val="0"/>
        <w:rPr>
          <w:rFonts w:hint="default"/>
          <w:color w:val="auto"/>
          <w:highlight w:val="none"/>
          <w:lang w:val="en-US" w:eastAsia="zh-CN"/>
        </w:rPr>
      </w:pPr>
      <w:bookmarkStart w:id="16" w:name="_Toc25848"/>
      <w:r>
        <w:rPr>
          <w:rFonts w:hint="eastAsia"/>
          <w:color w:val="auto"/>
          <w:highlight w:val="none"/>
          <w:lang w:val="en-US" w:eastAsia="zh-CN"/>
        </w:rPr>
        <w:t>5 拌合物性能试验方法</w:t>
      </w:r>
      <w:bookmarkEnd w:id="16"/>
    </w:p>
    <w:p w14:paraId="6AA6DCF2">
      <w:pPr>
        <w:widowControl/>
        <w:kinsoku/>
        <w:overflowPunct/>
        <w:bidi w:val="0"/>
        <w:spacing w:before="156" w:beforeLines="50" w:after="156" w:afterLines="50" w:line="360" w:lineRule="auto"/>
        <w:jc w:val="both"/>
        <w:outlineLvl w:val="1"/>
        <w:rPr>
          <w:rFonts w:hint="eastAsia" w:ascii="黑体" w:hAnsi="黑体" w:eastAsia="黑体" w:cs="黑体"/>
          <w:b w:val="0"/>
          <w:bCs/>
          <w:color w:val="auto"/>
          <w:kern w:val="0"/>
          <w:szCs w:val="20"/>
          <w:highlight w:val="none"/>
        </w:rPr>
      </w:pPr>
      <w:bookmarkStart w:id="17" w:name="_Toc19450"/>
      <w:r>
        <w:rPr>
          <w:rFonts w:hint="eastAsia" w:ascii="黑体" w:hAnsi="黑体" w:eastAsia="黑体" w:cs="黑体"/>
          <w:b w:val="0"/>
          <w:bCs/>
          <w:color w:val="auto"/>
          <w:kern w:val="0"/>
          <w:szCs w:val="20"/>
          <w:highlight w:val="none"/>
        </w:rPr>
        <w:t>5.1 坍落度及坍落度经时损失</w:t>
      </w:r>
      <w:bookmarkEnd w:id="17"/>
    </w:p>
    <w:p w14:paraId="5DCE3CF3">
      <w:pPr>
        <w:kinsoku/>
        <w:overflowPunct/>
        <w:bidi w:val="0"/>
        <w:spacing w:line="360" w:lineRule="auto"/>
        <w:outlineLvl w:val="9"/>
        <w:rPr>
          <w:color w:val="auto"/>
          <w:highlight w:val="none"/>
        </w:rPr>
      </w:pPr>
      <w:r>
        <w:rPr>
          <w:rFonts w:hint="eastAsia"/>
          <w:color w:val="auto"/>
          <w:highlight w:val="none"/>
        </w:rPr>
        <w:t>5</w:t>
      </w:r>
      <w:r>
        <w:rPr>
          <w:color w:val="auto"/>
          <w:highlight w:val="none"/>
        </w:rPr>
        <w:t>.1.1 本方法适用于坍落度不小于100mm、扩展度不</w:t>
      </w:r>
      <w:r>
        <w:rPr>
          <w:rFonts w:hint="eastAsia"/>
          <w:color w:val="auto"/>
          <w:highlight w:val="none"/>
          <w:lang w:eastAsia="zh"/>
          <w:woUserID w:val="2"/>
        </w:rPr>
        <w:t>大</w:t>
      </w:r>
      <w:r>
        <w:rPr>
          <w:color w:val="auto"/>
          <w:highlight w:val="none"/>
        </w:rPr>
        <w:t>于500mm的超高性能混凝土拌合物的坍落度及坍落度经时损失的测定。</w:t>
      </w:r>
    </w:p>
    <w:p w14:paraId="4C050F5E">
      <w:pPr>
        <w:kinsoku/>
        <w:overflowPunct/>
        <w:bidi w:val="0"/>
        <w:spacing w:line="360" w:lineRule="auto"/>
        <w:outlineLvl w:val="9"/>
        <w:rPr>
          <w:color w:val="auto"/>
          <w:highlight w:val="none"/>
        </w:rPr>
      </w:pPr>
      <w:r>
        <w:rPr>
          <w:rFonts w:hint="eastAsia"/>
          <w:color w:val="auto"/>
          <w:highlight w:val="none"/>
        </w:rPr>
        <w:t>5</w:t>
      </w:r>
      <w:r>
        <w:rPr>
          <w:color w:val="auto"/>
          <w:highlight w:val="none"/>
        </w:rPr>
        <w:t>.1.2坍落度及坍落度经时损失试验的试验设备应符合下列规定</w:t>
      </w:r>
      <w:r>
        <w:rPr>
          <w:rFonts w:hint="eastAsia"/>
          <w:color w:val="auto"/>
          <w:highlight w:val="none"/>
        </w:rPr>
        <w:t>：</w:t>
      </w:r>
    </w:p>
    <w:p w14:paraId="792B61DC">
      <w:pPr>
        <w:kinsoku/>
        <w:overflowPunct/>
        <w:bidi w:val="0"/>
        <w:spacing w:line="360" w:lineRule="auto"/>
        <w:ind w:firstLine="420" w:firstLineChars="200"/>
        <w:rPr>
          <w:color w:val="auto"/>
          <w:highlight w:val="none"/>
        </w:rPr>
      </w:pPr>
      <w:r>
        <w:rPr>
          <w:rFonts w:hint="eastAsia"/>
          <w:color w:val="auto"/>
          <w:highlight w:val="none"/>
        </w:rPr>
        <w:t xml:space="preserve">1 </w:t>
      </w:r>
      <w:r>
        <w:rPr>
          <w:color w:val="auto"/>
          <w:highlight w:val="none"/>
        </w:rPr>
        <w:t>坍落度仪应符合JG/T</w:t>
      </w:r>
      <w:r>
        <w:rPr>
          <w:rFonts w:hint="eastAsia"/>
          <w:color w:val="auto"/>
          <w:highlight w:val="none"/>
        </w:rPr>
        <w:t xml:space="preserve"> </w:t>
      </w:r>
      <w:r>
        <w:rPr>
          <w:color w:val="auto"/>
          <w:highlight w:val="none"/>
        </w:rPr>
        <w:t>248的有关规定。</w:t>
      </w:r>
    </w:p>
    <w:p w14:paraId="10563786">
      <w:pPr>
        <w:kinsoku/>
        <w:overflowPunct/>
        <w:bidi w:val="0"/>
        <w:spacing w:line="360" w:lineRule="auto"/>
        <w:ind w:firstLine="420" w:firstLineChars="200"/>
        <w:rPr>
          <w:color w:val="auto"/>
          <w:highlight w:val="none"/>
        </w:rPr>
      </w:pPr>
      <w:r>
        <w:rPr>
          <w:color w:val="auto"/>
          <w:highlight w:val="none"/>
        </w:rPr>
        <w:t>2 应配备2把钢尺，钢尺的量程不应小于300mm，分度值不应大于</w:t>
      </w:r>
      <w:r>
        <w:rPr>
          <w:rFonts w:hint="eastAsia"/>
          <w:color w:val="auto"/>
          <w:highlight w:val="none"/>
        </w:rPr>
        <w:t>1mm</w:t>
      </w:r>
      <w:r>
        <w:rPr>
          <w:color w:val="auto"/>
          <w:highlight w:val="none"/>
        </w:rPr>
        <w:t>。</w:t>
      </w:r>
    </w:p>
    <w:p w14:paraId="569CDA3B">
      <w:pPr>
        <w:kinsoku/>
        <w:overflowPunct/>
        <w:bidi w:val="0"/>
        <w:spacing w:line="360" w:lineRule="auto"/>
        <w:ind w:firstLine="420" w:firstLineChars="200"/>
        <w:rPr>
          <w:color w:val="auto"/>
          <w:highlight w:val="none"/>
        </w:rPr>
      </w:pPr>
      <w:r>
        <w:rPr>
          <w:color w:val="auto"/>
          <w:highlight w:val="none"/>
        </w:rPr>
        <w:t>3 底板应采用平面尺寸不小于1500mm</w:t>
      </w:r>
      <w:r>
        <w:rPr>
          <w:rFonts w:hint="eastAsia"/>
          <w:color w:val="auto"/>
          <w:highlight w:val="none"/>
        </w:rPr>
        <w:t>×</w:t>
      </w:r>
      <w:r>
        <w:rPr>
          <w:color w:val="auto"/>
          <w:highlight w:val="none"/>
        </w:rPr>
        <w:t>1500mm、厚度不小于3mm的钢板，其最大挠度不应大于3mm。</w:t>
      </w:r>
    </w:p>
    <w:p w14:paraId="5A6CFF5F">
      <w:pPr>
        <w:kinsoku/>
        <w:overflowPunct/>
        <w:bidi w:val="0"/>
        <w:spacing w:line="360" w:lineRule="auto"/>
        <w:outlineLvl w:val="9"/>
        <w:rPr>
          <w:color w:val="auto"/>
          <w:highlight w:val="none"/>
        </w:rPr>
      </w:pPr>
      <w:r>
        <w:rPr>
          <w:rFonts w:hint="eastAsia"/>
          <w:color w:val="auto"/>
          <w:highlight w:val="none"/>
        </w:rPr>
        <w:t>5</w:t>
      </w:r>
      <w:r>
        <w:rPr>
          <w:color w:val="auto"/>
          <w:highlight w:val="none"/>
        </w:rPr>
        <w:t>.1.3 坍落度试验应按下列步骤进行</w:t>
      </w:r>
      <w:r>
        <w:rPr>
          <w:rFonts w:hint="eastAsia"/>
          <w:color w:val="auto"/>
          <w:highlight w:val="none"/>
        </w:rPr>
        <w:t>：</w:t>
      </w:r>
    </w:p>
    <w:p w14:paraId="228DB59B">
      <w:pPr>
        <w:kinsoku/>
        <w:overflowPunct/>
        <w:bidi w:val="0"/>
        <w:spacing w:line="360" w:lineRule="auto"/>
        <w:ind w:firstLine="420" w:firstLineChars="200"/>
        <w:rPr>
          <w:color w:val="auto"/>
          <w:highlight w:val="none"/>
        </w:rPr>
      </w:pPr>
      <w:r>
        <w:rPr>
          <w:color w:val="auto"/>
          <w:highlight w:val="none"/>
        </w:rPr>
        <w:t>1 坍落度筒内壁和底板应润湿无明水</w:t>
      </w:r>
      <w:r>
        <w:rPr>
          <w:rFonts w:hint="eastAsia"/>
          <w:color w:val="auto"/>
          <w:highlight w:val="none"/>
        </w:rPr>
        <w:t>；</w:t>
      </w:r>
      <w:r>
        <w:rPr>
          <w:color w:val="auto"/>
          <w:highlight w:val="none"/>
        </w:rPr>
        <w:t>底板应放置在坚实水平面上，并把坍落度筒放在底板中心，然后用脚踩住两边的脚踏板，坍落度简在装料时应保持在固定的位置。</w:t>
      </w:r>
    </w:p>
    <w:p w14:paraId="317CC9D6">
      <w:pPr>
        <w:kinsoku/>
        <w:overflowPunct/>
        <w:bidi w:val="0"/>
        <w:spacing w:line="360" w:lineRule="auto"/>
        <w:ind w:firstLine="420" w:firstLineChars="200"/>
        <w:rPr>
          <w:color w:val="auto"/>
          <w:highlight w:val="none"/>
        </w:rPr>
      </w:pPr>
      <w:r>
        <w:rPr>
          <w:color w:val="auto"/>
          <w:highlight w:val="none"/>
        </w:rPr>
        <w:t>2 超高性能混凝土拌合物应分二层均匀地装入坍落度筒内:每装一层超高性能混凝土拌合物，应用捣棒由边缘到中心按螺旋形均匀插捣25次，捣实后每层混凝土拌合物试样高度约为筒高的1/3。</w:t>
      </w:r>
    </w:p>
    <w:p w14:paraId="1B57D802">
      <w:pPr>
        <w:kinsoku/>
        <w:overflowPunct/>
        <w:bidi w:val="0"/>
        <w:spacing w:line="360" w:lineRule="auto"/>
        <w:ind w:firstLine="420" w:firstLineChars="200"/>
        <w:rPr>
          <w:color w:val="auto"/>
          <w:highlight w:val="none"/>
        </w:rPr>
      </w:pPr>
      <w:r>
        <w:rPr>
          <w:color w:val="auto"/>
          <w:highlight w:val="none"/>
        </w:rPr>
        <w:t>3 插捣底层时，捣棒应贯穿整个深度，插捣第二层和顶层时，捣棒应插透本层至下一层的表面。</w:t>
      </w:r>
    </w:p>
    <w:p w14:paraId="14068039">
      <w:pPr>
        <w:kinsoku/>
        <w:overflowPunct/>
        <w:bidi w:val="0"/>
        <w:spacing w:line="360" w:lineRule="auto"/>
        <w:ind w:firstLine="420" w:firstLineChars="200"/>
        <w:rPr>
          <w:color w:val="auto"/>
          <w:highlight w:val="none"/>
        </w:rPr>
      </w:pPr>
      <w:r>
        <w:rPr>
          <w:color w:val="auto"/>
          <w:highlight w:val="none"/>
        </w:rPr>
        <w:t>4 顶层超高性能混凝土拌合物装料应高出筒口，插捣过程中，超高性能混凝土拌合物低于筒口时，应随时添加。</w:t>
      </w:r>
    </w:p>
    <w:p w14:paraId="5871C6B9">
      <w:pPr>
        <w:kinsoku/>
        <w:overflowPunct/>
        <w:bidi w:val="0"/>
        <w:spacing w:line="360" w:lineRule="auto"/>
        <w:ind w:firstLine="420" w:firstLineChars="200"/>
        <w:rPr>
          <w:color w:val="auto"/>
          <w:highlight w:val="none"/>
        </w:rPr>
      </w:pPr>
      <w:r>
        <w:rPr>
          <w:rFonts w:hint="eastAsia"/>
          <w:color w:val="auto"/>
          <w:highlight w:val="none"/>
        </w:rPr>
        <w:t xml:space="preserve">5 </w:t>
      </w:r>
      <w:r>
        <w:rPr>
          <w:color w:val="auto"/>
          <w:highlight w:val="none"/>
        </w:rPr>
        <w:t>顶层插捣完后，取下装料漏斗，应将多余超高性能混凝士拌合物刮去，并沿筒口抹平。</w:t>
      </w:r>
    </w:p>
    <w:p w14:paraId="1FE19401">
      <w:pPr>
        <w:kinsoku/>
        <w:overflowPunct/>
        <w:bidi w:val="0"/>
        <w:spacing w:line="360" w:lineRule="auto"/>
        <w:ind w:firstLine="420" w:firstLineChars="200"/>
        <w:rPr>
          <w:color w:val="auto"/>
          <w:highlight w:val="none"/>
        </w:rPr>
      </w:pPr>
      <w:r>
        <w:rPr>
          <w:color w:val="auto"/>
          <w:highlight w:val="none"/>
        </w:rPr>
        <w:t>6 清除筒边底板上多余的超高性能混凝土拌合物后，应垂直平稳地提起坍落度筒，并轻放于试样旁边。当试样不再继续坍落或坍落时间达50s时，用钢尺测量出筒高与坍落后超高性能混凝土试体最高点之间的高度差，作为该超高性能混凝土拌合物的坍落度值</w:t>
      </w:r>
      <w:r>
        <w:rPr>
          <w:rFonts w:hint="eastAsia"/>
          <w:color w:val="auto"/>
          <w:highlight w:val="none"/>
        </w:rPr>
        <w:t>。</w:t>
      </w:r>
    </w:p>
    <w:p w14:paraId="2BF7BA50">
      <w:pPr>
        <w:kinsoku/>
        <w:overflowPunct/>
        <w:bidi w:val="0"/>
        <w:spacing w:line="360" w:lineRule="auto"/>
        <w:outlineLvl w:val="9"/>
        <w:rPr>
          <w:color w:val="auto"/>
          <w:highlight w:val="none"/>
        </w:rPr>
      </w:pPr>
      <w:r>
        <w:rPr>
          <w:rFonts w:hint="eastAsia"/>
          <w:color w:val="auto"/>
          <w:highlight w:val="none"/>
        </w:rPr>
        <w:t xml:space="preserve">5.1.4 </w:t>
      </w:r>
      <w:r>
        <w:rPr>
          <w:color w:val="auto"/>
          <w:highlight w:val="none"/>
        </w:rPr>
        <w:t>坍落度经时损失试验应按下列步骤进行</w:t>
      </w:r>
      <w:r>
        <w:rPr>
          <w:rFonts w:hint="eastAsia"/>
          <w:color w:val="auto"/>
          <w:highlight w:val="none"/>
        </w:rPr>
        <w:t>：</w:t>
      </w:r>
    </w:p>
    <w:p w14:paraId="59B361A2">
      <w:pPr>
        <w:kinsoku/>
        <w:overflowPunct/>
        <w:bidi w:val="0"/>
        <w:spacing w:line="360" w:lineRule="auto"/>
        <w:ind w:firstLine="420" w:firstLineChars="200"/>
        <w:rPr>
          <w:color w:val="auto"/>
          <w:highlight w:val="none"/>
        </w:rPr>
      </w:pPr>
      <w:r>
        <w:rPr>
          <w:color w:val="auto"/>
          <w:highlight w:val="none"/>
        </w:rPr>
        <w:t>1</w:t>
      </w:r>
      <w:r>
        <w:rPr>
          <w:rFonts w:hint="eastAsia"/>
          <w:color w:val="auto"/>
          <w:highlight w:val="none"/>
        </w:rPr>
        <w:t xml:space="preserve"> </w:t>
      </w:r>
      <w:r>
        <w:rPr>
          <w:color w:val="auto"/>
          <w:highlight w:val="none"/>
        </w:rPr>
        <w:t>测量出机时的超高性能混凝土拌合物的初始坍落度值H</w:t>
      </w:r>
      <w:r>
        <w:rPr>
          <w:rFonts w:hint="eastAsia"/>
          <w:color w:val="auto"/>
          <w:highlight w:val="none"/>
          <w:vertAlign w:val="subscript"/>
        </w:rPr>
        <w:t>0</w:t>
      </w:r>
      <w:r>
        <w:rPr>
          <w:color w:val="auto"/>
          <w:highlight w:val="none"/>
        </w:rPr>
        <w:t>。</w:t>
      </w:r>
    </w:p>
    <w:p w14:paraId="51B56422">
      <w:pPr>
        <w:kinsoku/>
        <w:overflowPunct/>
        <w:bidi w:val="0"/>
        <w:spacing w:line="360" w:lineRule="auto"/>
        <w:ind w:firstLine="420" w:firstLineChars="200"/>
        <w:rPr>
          <w:color w:val="auto"/>
          <w:highlight w:val="none"/>
        </w:rPr>
      </w:pPr>
      <w:r>
        <w:rPr>
          <w:color w:val="auto"/>
          <w:highlight w:val="none"/>
        </w:rPr>
        <w:t>2 将全部超高性能混凝土拌合物试样装人塑料桶或不被水泥浆腐蚀的金属桶内，并用桶盖或塑料薄膜密封静置。</w:t>
      </w:r>
    </w:p>
    <w:p w14:paraId="36CF55DA">
      <w:pPr>
        <w:kinsoku/>
        <w:overflowPunct/>
        <w:bidi w:val="0"/>
        <w:spacing w:line="360" w:lineRule="auto"/>
        <w:ind w:firstLine="420" w:firstLineChars="200"/>
        <w:rPr>
          <w:color w:val="auto"/>
          <w:highlight w:val="none"/>
        </w:rPr>
      </w:pPr>
      <w:r>
        <w:rPr>
          <w:color w:val="auto"/>
          <w:highlight w:val="none"/>
        </w:rPr>
        <w:t>3 自搅拌加水开始计时，静置1h后将桶内超高性能混凝士拌合物试样全部倒人搅拌机内，搅拌20s，即进行坍落度试验</w:t>
      </w:r>
      <w:r>
        <w:rPr>
          <w:rFonts w:hint="eastAsia"/>
          <w:color w:val="auto"/>
          <w:highlight w:val="none"/>
        </w:rPr>
        <w:t>，</w:t>
      </w:r>
      <w:r>
        <w:rPr>
          <w:color w:val="auto"/>
          <w:highlight w:val="none"/>
        </w:rPr>
        <w:t>得出1h坍落度值</w:t>
      </w:r>
      <w:r>
        <w:rPr>
          <w:rFonts w:hint="eastAsia"/>
          <w:color w:val="auto"/>
          <w:highlight w:val="none"/>
        </w:rPr>
        <w:t>H</w:t>
      </w:r>
      <w:r>
        <w:rPr>
          <w:rFonts w:hint="eastAsia"/>
          <w:color w:val="auto"/>
          <w:highlight w:val="none"/>
          <w:vertAlign w:val="subscript"/>
        </w:rPr>
        <w:t>1</w:t>
      </w:r>
      <w:r>
        <w:rPr>
          <w:color w:val="auto"/>
          <w:highlight w:val="none"/>
        </w:rPr>
        <w:t>。</w:t>
      </w:r>
    </w:p>
    <w:p w14:paraId="4B1D5C71">
      <w:pPr>
        <w:kinsoku/>
        <w:overflowPunct/>
        <w:bidi w:val="0"/>
        <w:spacing w:line="360" w:lineRule="auto"/>
        <w:ind w:firstLine="420" w:firstLineChars="200"/>
        <w:rPr>
          <w:color w:val="auto"/>
          <w:highlight w:val="none"/>
        </w:rPr>
      </w:pPr>
      <w:r>
        <w:rPr>
          <w:color w:val="auto"/>
          <w:highlight w:val="none"/>
        </w:rPr>
        <w:t>4 计算初始坍落度值与1h坍落度值的差值，可得到1h超高性能混凝土坍落度经时损失试验结果。</w:t>
      </w:r>
    </w:p>
    <w:p w14:paraId="4070497F">
      <w:pPr>
        <w:kinsoku/>
        <w:overflowPunct/>
        <w:bidi w:val="0"/>
        <w:spacing w:line="360" w:lineRule="auto"/>
        <w:outlineLvl w:val="9"/>
        <w:rPr>
          <w:color w:val="auto"/>
          <w:highlight w:val="none"/>
        </w:rPr>
      </w:pPr>
      <w:r>
        <w:rPr>
          <w:rFonts w:hint="eastAsia"/>
          <w:color w:val="auto"/>
          <w:highlight w:val="none"/>
        </w:rPr>
        <w:t>5</w:t>
      </w:r>
      <w:r>
        <w:rPr>
          <w:color w:val="auto"/>
          <w:highlight w:val="none"/>
        </w:rPr>
        <w:t xml:space="preserve">.1.5 </w:t>
      </w:r>
      <w:r>
        <w:rPr>
          <w:rFonts w:hint="eastAsia"/>
          <w:color w:val="auto"/>
          <w:highlight w:val="none"/>
          <w:lang w:eastAsia="zh"/>
          <w:woUserID w:val="1"/>
        </w:rPr>
        <w:t>坍</w:t>
      </w:r>
      <w:r>
        <w:rPr>
          <w:color w:val="auto"/>
          <w:highlight w:val="none"/>
        </w:rPr>
        <w:t>落度筒的提离过程宜控制在3s~7s</w:t>
      </w:r>
      <w:r>
        <w:rPr>
          <w:rFonts w:hint="eastAsia"/>
          <w:color w:val="auto"/>
          <w:highlight w:val="none"/>
        </w:rPr>
        <w:t>；</w:t>
      </w:r>
      <w:r>
        <w:rPr>
          <w:color w:val="auto"/>
          <w:highlight w:val="none"/>
        </w:rPr>
        <w:t>从开始装料到提起坍落度筒的整个过程应连续进行，并应在150s内完成。</w:t>
      </w:r>
    </w:p>
    <w:p w14:paraId="2EC05CF0">
      <w:pPr>
        <w:kinsoku/>
        <w:overflowPunct/>
        <w:bidi w:val="0"/>
        <w:spacing w:line="360" w:lineRule="auto"/>
        <w:outlineLvl w:val="9"/>
        <w:rPr>
          <w:color w:val="auto"/>
          <w:highlight w:val="none"/>
        </w:rPr>
      </w:pPr>
      <w:r>
        <w:rPr>
          <w:rFonts w:hint="eastAsia"/>
          <w:color w:val="auto"/>
          <w:highlight w:val="none"/>
        </w:rPr>
        <w:t>5</w:t>
      </w:r>
      <w:r>
        <w:rPr>
          <w:color w:val="auto"/>
          <w:highlight w:val="none"/>
        </w:rPr>
        <w:t>.1.6</w:t>
      </w:r>
      <w:r>
        <w:rPr>
          <w:rFonts w:hint="eastAsia"/>
          <w:color w:val="auto"/>
          <w:highlight w:val="none"/>
        </w:rPr>
        <w:t xml:space="preserve"> </w:t>
      </w:r>
      <w:r>
        <w:rPr>
          <w:color w:val="auto"/>
          <w:highlight w:val="none"/>
        </w:rPr>
        <w:t>超高性能混凝土拌合物坍落度值测量应精确至1mm，结果修约至 5mm。</w:t>
      </w:r>
    </w:p>
    <w:p w14:paraId="24BA27D3">
      <w:pPr>
        <w:kinsoku/>
        <w:overflowPunct/>
        <w:bidi w:val="0"/>
        <w:spacing w:line="360" w:lineRule="auto"/>
        <w:outlineLvl w:val="9"/>
        <w:rPr>
          <w:color w:val="auto"/>
          <w:highlight w:val="none"/>
        </w:rPr>
      </w:pPr>
      <w:r>
        <w:rPr>
          <w:rFonts w:hint="eastAsia"/>
          <w:color w:val="auto"/>
          <w:highlight w:val="none"/>
        </w:rPr>
        <w:t>5</w:t>
      </w:r>
      <w:r>
        <w:rPr>
          <w:color w:val="auto"/>
          <w:highlight w:val="none"/>
        </w:rPr>
        <w:t>.1.7 当工程要求调整坍落度经时损失试验的静置时间时，则应按实际静置时间测定并计算超高性能混凝土坍落度经时损失。</w:t>
      </w:r>
    </w:p>
    <w:p w14:paraId="14968BD1">
      <w:pPr>
        <w:widowControl/>
        <w:kinsoku/>
        <w:overflowPunct/>
        <w:bidi w:val="0"/>
        <w:spacing w:before="156" w:beforeLines="50" w:after="156" w:afterLines="50" w:line="360" w:lineRule="auto"/>
        <w:jc w:val="both"/>
        <w:outlineLvl w:val="1"/>
        <w:rPr>
          <w:rFonts w:hint="eastAsia" w:ascii="黑体" w:hAnsi="黑体" w:eastAsia="黑体" w:cs="黑体"/>
          <w:b w:val="0"/>
          <w:bCs/>
          <w:color w:val="auto"/>
          <w:kern w:val="0"/>
          <w:szCs w:val="20"/>
          <w:highlight w:val="none"/>
        </w:rPr>
      </w:pPr>
      <w:bookmarkStart w:id="18" w:name="_Toc21657"/>
      <w:r>
        <w:rPr>
          <w:rFonts w:hint="eastAsia" w:ascii="黑体" w:hAnsi="黑体" w:eastAsia="黑体" w:cs="黑体"/>
          <w:b w:val="0"/>
          <w:bCs/>
          <w:color w:val="auto"/>
          <w:kern w:val="0"/>
          <w:szCs w:val="20"/>
          <w:highlight w:val="none"/>
        </w:rPr>
        <w:t>5.2 扩展度及扩展度经时损失</w:t>
      </w:r>
      <w:bookmarkEnd w:id="18"/>
    </w:p>
    <w:p w14:paraId="08E63B5C">
      <w:pPr>
        <w:kinsoku/>
        <w:overflowPunct/>
        <w:bidi w:val="0"/>
        <w:spacing w:line="360" w:lineRule="auto"/>
        <w:outlineLvl w:val="9"/>
        <w:rPr>
          <w:color w:val="auto"/>
          <w:highlight w:val="none"/>
        </w:rPr>
      </w:pPr>
      <w:r>
        <w:rPr>
          <w:rFonts w:hint="eastAsia"/>
          <w:color w:val="auto"/>
          <w:highlight w:val="none"/>
        </w:rPr>
        <w:t>5.2.1 本方法适用于扩展度不小于500mm的超高性能混凝土拌合物的扩展度及扩展度经时损失的测定。</w:t>
      </w:r>
    </w:p>
    <w:p w14:paraId="037FDD11">
      <w:pPr>
        <w:kinsoku/>
        <w:overflowPunct/>
        <w:bidi w:val="0"/>
        <w:spacing w:line="360" w:lineRule="auto"/>
        <w:outlineLvl w:val="9"/>
        <w:rPr>
          <w:color w:val="auto"/>
          <w:highlight w:val="none"/>
        </w:rPr>
      </w:pPr>
      <w:r>
        <w:rPr>
          <w:rFonts w:hint="eastAsia"/>
          <w:color w:val="auto"/>
          <w:highlight w:val="none"/>
        </w:rPr>
        <w:t>5.2.2 扩展度及扩展度经时损失试验的试验设备应符合下列规定：</w:t>
      </w:r>
    </w:p>
    <w:p w14:paraId="5B5081D5">
      <w:pPr>
        <w:kinsoku/>
        <w:overflowPunct/>
        <w:bidi w:val="0"/>
        <w:spacing w:line="360" w:lineRule="auto"/>
        <w:ind w:firstLine="420" w:firstLineChars="200"/>
        <w:rPr>
          <w:color w:val="auto"/>
          <w:highlight w:val="none"/>
        </w:rPr>
      </w:pPr>
      <w:r>
        <w:rPr>
          <w:rFonts w:hint="eastAsia"/>
          <w:color w:val="auto"/>
          <w:highlight w:val="none"/>
        </w:rPr>
        <w:t>1 坍落度仪应符合JG/T 248的有关规定。</w:t>
      </w:r>
    </w:p>
    <w:p w14:paraId="3A91AC1C">
      <w:pPr>
        <w:kinsoku/>
        <w:overflowPunct/>
        <w:bidi w:val="0"/>
        <w:spacing w:line="360" w:lineRule="auto"/>
        <w:ind w:firstLine="420" w:firstLineChars="200"/>
        <w:rPr>
          <w:color w:val="auto"/>
          <w:highlight w:val="none"/>
        </w:rPr>
      </w:pPr>
      <w:r>
        <w:rPr>
          <w:rFonts w:hint="eastAsia"/>
          <w:color w:val="auto"/>
          <w:highlight w:val="none"/>
        </w:rPr>
        <w:t>2 钢尺的量程不应小于1000mm，分度值不应大于1mm。</w:t>
      </w:r>
    </w:p>
    <w:p w14:paraId="01847EF3">
      <w:pPr>
        <w:kinsoku/>
        <w:overflowPunct/>
        <w:bidi w:val="0"/>
        <w:spacing w:line="360" w:lineRule="auto"/>
        <w:ind w:firstLine="420" w:firstLineChars="200"/>
        <w:rPr>
          <w:color w:val="auto"/>
          <w:highlight w:val="none"/>
        </w:rPr>
      </w:pPr>
      <w:r>
        <w:rPr>
          <w:rFonts w:hint="eastAsia"/>
          <w:color w:val="auto"/>
          <w:highlight w:val="none"/>
        </w:rPr>
        <w:t>3 底板应采用平面尺寸不小于1500mm×1500mm、厚度不小于3mm的钢板，其最大挠度不应大于3mm。</w:t>
      </w:r>
    </w:p>
    <w:p w14:paraId="5306DC69">
      <w:pPr>
        <w:kinsoku/>
        <w:overflowPunct/>
        <w:bidi w:val="0"/>
        <w:spacing w:line="360" w:lineRule="auto"/>
        <w:outlineLvl w:val="9"/>
        <w:rPr>
          <w:color w:val="auto"/>
          <w:highlight w:val="none"/>
        </w:rPr>
      </w:pPr>
      <w:r>
        <w:rPr>
          <w:rFonts w:hint="eastAsia"/>
          <w:color w:val="auto"/>
          <w:highlight w:val="none"/>
        </w:rPr>
        <w:t>5.2.3 扩展度试验应按下列步骤进行：</w:t>
      </w:r>
    </w:p>
    <w:p w14:paraId="49428176">
      <w:pPr>
        <w:kinsoku/>
        <w:overflowPunct/>
        <w:bidi w:val="0"/>
        <w:spacing w:line="360" w:lineRule="auto"/>
        <w:ind w:firstLine="420" w:firstLineChars="200"/>
        <w:rPr>
          <w:color w:val="auto"/>
          <w:highlight w:val="none"/>
        </w:rPr>
      </w:pPr>
      <w:r>
        <w:rPr>
          <w:rFonts w:hint="eastAsia"/>
          <w:color w:val="auto"/>
          <w:highlight w:val="none"/>
        </w:rPr>
        <w:t>1 坍落度筒内壁和底板应润湿无明水；底板应放置在坚实水平面上，并把坍落度筒放在底板中心，然后用脚踩住两边的脚踏板，坍落度筒在装料时应保持在固定的位置。</w:t>
      </w:r>
    </w:p>
    <w:p w14:paraId="176D5E97">
      <w:pPr>
        <w:kinsoku/>
        <w:overflowPunct/>
        <w:bidi w:val="0"/>
        <w:spacing w:line="360" w:lineRule="auto"/>
        <w:ind w:firstLine="420" w:firstLineChars="200"/>
        <w:rPr>
          <w:color w:val="auto"/>
          <w:highlight w:val="none"/>
        </w:rPr>
      </w:pPr>
      <w:r>
        <w:rPr>
          <w:rFonts w:hint="eastAsia"/>
          <w:color w:val="auto"/>
          <w:highlight w:val="none"/>
        </w:rPr>
        <w:t>2 用盛料容器一次性使超高性能混凝土拌合物均匀填满落度筒，加满后刮去多余拌合物，沿筒口抹平，不得进行插捣。</w:t>
      </w:r>
    </w:p>
    <w:p w14:paraId="59D28EB6">
      <w:pPr>
        <w:kinsoku/>
        <w:overflowPunct/>
        <w:bidi w:val="0"/>
        <w:spacing w:line="360" w:lineRule="auto"/>
        <w:ind w:firstLine="420" w:firstLineChars="200"/>
        <w:rPr>
          <w:color w:val="auto"/>
          <w:highlight w:val="none"/>
        </w:rPr>
      </w:pPr>
      <w:r>
        <w:rPr>
          <w:rFonts w:hint="eastAsia"/>
          <w:color w:val="auto"/>
          <w:highlight w:val="none"/>
        </w:rPr>
        <w:t>3 清除坍落度筒周围多余的超高性能混凝土拌合物，然后将坍落度筒垂直平稳地提起，提起时间宜控制在3s~7s。当试样不再继续扩展或扩展时间已达</w:t>
      </w:r>
      <w:r>
        <w:rPr>
          <w:rFonts w:hint="eastAsia"/>
          <w:color w:val="auto"/>
          <w:highlight w:val="none"/>
          <w:lang w:val="en-US" w:eastAsia="zh-CN"/>
        </w:rPr>
        <w:t>150</w:t>
      </w:r>
      <w:r>
        <w:rPr>
          <w:rFonts w:hint="eastAsia"/>
          <w:color w:val="auto"/>
          <w:highlight w:val="none"/>
        </w:rPr>
        <w:t>s时，用钢尺测量超高性能混凝土拌合物展开扩展面的最大直径以及与最大直径呈垂直方向的直径。</w:t>
      </w:r>
    </w:p>
    <w:p w14:paraId="7DB9BD5F">
      <w:pPr>
        <w:kinsoku/>
        <w:overflowPunct/>
        <w:bidi w:val="0"/>
        <w:spacing w:line="360" w:lineRule="auto"/>
        <w:ind w:firstLine="420" w:firstLineChars="200"/>
        <w:rPr>
          <w:color w:val="auto"/>
          <w:highlight w:val="none"/>
        </w:rPr>
      </w:pPr>
      <w:r>
        <w:rPr>
          <w:rFonts w:hint="eastAsia"/>
          <w:color w:val="auto"/>
          <w:highlight w:val="none"/>
        </w:rPr>
        <w:t>4 当两直径之差不大于50mm时，应取算数平均值作为扩展度试验结果;当两直径之差大于50mm时，应重新取样另行测定。</w:t>
      </w:r>
    </w:p>
    <w:p w14:paraId="59A2DCDF">
      <w:pPr>
        <w:kinsoku/>
        <w:overflowPunct/>
        <w:bidi w:val="0"/>
        <w:spacing w:line="360" w:lineRule="auto"/>
        <w:outlineLvl w:val="9"/>
        <w:rPr>
          <w:color w:val="auto"/>
          <w:highlight w:val="none"/>
        </w:rPr>
      </w:pPr>
      <w:r>
        <w:rPr>
          <w:rFonts w:hint="eastAsia"/>
          <w:color w:val="auto"/>
          <w:highlight w:val="none"/>
        </w:rPr>
        <w:t>5.2.4 扩展度经时损失试验应按下列步骤进行：</w:t>
      </w:r>
    </w:p>
    <w:p w14:paraId="58003E7D">
      <w:pPr>
        <w:kinsoku/>
        <w:overflowPunct/>
        <w:bidi w:val="0"/>
        <w:spacing w:line="360" w:lineRule="auto"/>
        <w:ind w:firstLine="420" w:firstLineChars="200"/>
        <w:rPr>
          <w:color w:val="auto"/>
          <w:highlight w:val="none"/>
        </w:rPr>
      </w:pPr>
      <w:r>
        <w:rPr>
          <w:rFonts w:hint="eastAsia"/>
          <w:color w:val="auto"/>
          <w:highlight w:val="none"/>
        </w:rPr>
        <w:t>1 测量出机时的超高性能混凝土拌合物的初始扩展度值L</w:t>
      </w:r>
      <w:r>
        <w:rPr>
          <w:rFonts w:hint="eastAsia"/>
          <w:color w:val="auto"/>
          <w:highlight w:val="none"/>
          <w:vertAlign w:val="subscript"/>
        </w:rPr>
        <w:t>0</w:t>
      </w:r>
      <w:r>
        <w:rPr>
          <w:rFonts w:hint="eastAsia"/>
          <w:color w:val="auto"/>
          <w:highlight w:val="none"/>
        </w:rPr>
        <w:t>。</w:t>
      </w:r>
    </w:p>
    <w:p w14:paraId="1C6A1555">
      <w:pPr>
        <w:kinsoku/>
        <w:overflowPunct/>
        <w:bidi w:val="0"/>
        <w:spacing w:line="360" w:lineRule="auto"/>
        <w:ind w:firstLine="420" w:firstLineChars="200"/>
        <w:rPr>
          <w:color w:val="auto"/>
          <w:highlight w:val="none"/>
        </w:rPr>
      </w:pPr>
      <w:r>
        <w:rPr>
          <w:rFonts w:hint="eastAsia"/>
          <w:color w:val="auto"/>
          <w:highlight w:val="none"/>
        </w:rPr>
        <w:t>2 将全部超高性能混凝土拌合物试样装入塑料桶或不被水泥浆腐蚀的金属桶内，并用桶盖或塑料薄膜密封静置。</w:t>
      </w:r>
    </w:p>
    <w:p w14:paraId="2CC12224">
      <w:pPr>
        <w:kinsoku/>
        <w:overflowPunct/>
        <w:bidi w:val="0"/>
        <w:spacing w:line="360" w:lineRule="auto"/>
        <w:ind w:firstLine="420" w:firstLineChars="200"/>
        <w:rPr>
          <w:color w:val="auto"/>
          <w:highlight w:val="none"/>
        </w:rPr>
      </w:pPr>
      <w:r>
        <w:rPr>
          <w:rFonts w:hint="eastAsia"/>
          <w:color w:val="auto"/>
          <w:highlight w:val="none"/>
        </w:rPr>
        <w:t>3 自搅拌加水开始计时，静置1h后应将桶内超高性能混凝土拌合物试样全部倒入搅拌机内，搅拌20s，即进行扩展度试验，得出1h 扩展度值L</w:t>
      </w:r>
      <w:r>
        <w:rPr>
          <w:rFonts w:hint="eastAsia"/>
          <w:color w:val="auto"/>
          <w:highlight w:val="none"/>
          <w:vertAlign w:val="subscript"/>
        </w:rPr>
        <w:t>1</w:t>
      </w:r>
      <w:r>
        <w:rPr>
          <w:rFonts w:hint="eastAsia"/>
          <w:color w:val="auto"/>
          <w:highlight w:val="none"/>
        </w:rPr>
        <w:t>。</w:t>
      </w:r>
    </w:p>
    <w:p w14:paraId="084784C4">
      <w:pPr>
        <w:kinsoku/>
        <w:overflowPunct/>
        <w:bidi w:val="0"/>
        <w:spacing w:line="360" w:lineRule="auto"/>
        <w:ind w:firstLine="420" w:firstLineChars="200"/>
        <w:rPr>
          <w:color w:val="auto"/>
          <w:highlight w:val="none"/>
        </w:rPr>
      </w:pPr>
      <w:r>
        <w:rPr>
          <w:rFonts w:hint="eastAsia"/>
          <w:color w:val="auto"/>
          <w:highlight w:val="none"/>
        </w:rPr>
        <w:t>4 计算初始扩展度值与1h扩展度值的差值，可得到1h超高性能混凝土扩展度经时损失试验结果。</w:t>
      </w:r>
    </w:p>
    <w:p w14:paraId="3ABD03D5">
      <w:pPr>
        <w:kinsoku/>
        <w:overflowPunct/>
        <w:bidi w:val="0"/>
        <w:spacing w:line="360" w:lineRule="auto"/>
        <w:outlineLvl w:val="9"/>
        <w:rPr>
          <w:color w:val="auto"/>
          <w:highlight w:val="none"/>
        </w:rPr>
      </w:pPr>
      <w:r>
        <w:rPr>
          <w:rFonts w:hint="eastAsia"/>
          <w:color w:val="auto"/>
          <w:highlight w:val="none"/>
        </w:rPr>
        <w:t>5</w:t>
      </w:r>
      <w:r>
        <w:rPr>
          <w:color w:val="auto"/>
          <w:highlight w:val="none"/>
        </w:rPr>
        <w:t>.2.5 扩展度及扩展度经时损失试验过程中发现钢纤维在中央堆集时，应记录说明。</w:t>
      </w:r>
    </w:p>
    <w:p w14:paraId="0048D7CD">
      <w:pPr>
        <w:kinsoku/>
        <w:overflowPunct/>
        <w:bidi w:val="0"/>
        <w:spacing w:line="360" w:lineRule="auto"/>
        <w:outlineLvl w:val="9"/>
        <w:rPr>
          <w:color w:val="auto"/>
          <w:highlight w:val="none"/>
        </w:rPr>
      </w:pPr>
      <w:r>
        <w:rPr>
          <w:rFonts w:hint="eastAsia"/>
          <w:color w:val="auto"/>
          <w:highlight w:val="none"/>
        </w:rPr>
        <w:t>5</w:t>
      </w:r>
      <w:r>
        <w:rPr>
          <w:color w:val="auto"/>
          <w:highlight w:val="none"/>
        </w:rPr>
        <w:t>.2.6 扩展度及扩展度经时损失试验从开始装料到测得超高性能混凝土扩展度值的整个过程应连续进行，并应在5min内完成。</w:t>
      </w:r>
    </w:p>
    <w:p w14:paraId="058B89A6">
      <w:pPr>
        <w:kinsoku/>
        <w:overflowPunct/>
        <w:bidi w:val="0"/>
        <w:spacing w:line="360" w:lineRule="auto"/>
        <w:outlineLvl w:val="9"/>
        <w:rPr>
          <w:color w:val="auto"/>
          <w:highlight w:val="none"/>
        </w:rPr>
      </w:pPr>
      <w:r>
        <w:rPr>
          <w:rFonts w:hint="eastAsia"/>
          <w:color w:val="auto"/>
          <w:highlight w:val="none"/>
        </w:rPr>
        <w:t>5</w:t>
      </w:r>
      <w:r>
        <w:rPr>
          <w:color w:val="auto"/>
          <w:highlight w:val="none"/>
        </w:rPr>
        <w:t>.2.7</w:t>
      </w:r>
      <w:r>
        <w:rPr>
          <w:rFonts w:hint="eastAsia"/>
          <w:color w:val="auto"/>
          <w:highlight w:val="none"/>
        </w:rPr>
        <w:t xml:space="preserve"> </w:t>
      </w:r>
      <w:r>
        <w:rPr>
          <w:color w:val="auto"/>
          <w:highlight w:val="none"/>
        </w:rPr>
        <w:t>超高性能混凝土拌合物扩展度值测量应精确至1mm，</w:t>
      </w:r>
      <w:r>
        <w:rPr>
          <w:rFonts w:hint="eastAsia"/>
          <w:color w:val="auto"/>
          <w:highlight w:val="none"/>
        </w:rPr>
        <w:t>结</w:t>
      </w:r>
      <w:r>
        <w:rPr>
          <w:color w:val="auto"/>
          <w:highlight w:val="none"/>
        </w:rPr>
        <w:t>果修约至 5mm。</w:t>
      </w:r>
    </w:p>
    <w:p w14:paraId="552C654B">
      <w:pPr>
        <w:kinsoku/>
        <w:overflowPunct/>
        <w:bidi w:val="0"/>
        <w:spacing w:line="360" w:lineRule="auto"/>
        <w:outlineLvl w:val="9"/>
        <w:rPr>
          <w:color w:val="auto"/>
          <w:highlight w:val="none"/>
        </w:rPr>
      </w:pPr>
      <w:r>
        <w:rPr>
          <w:rFonts w:hint="eastAsia"/>
          <w:color w:val="auto"/>
          <w:highlight w:val="none"/>
        </w:rPr>
        <w:t>5</w:t>
      </w:r>
      <w:r>
        <w:rPr>
          <w:color w:val="auto"/>
          <w:highlight w:val="none"/>
        </w:rPr>
        <w:t>.2.8 当工程要求调整扩展度经时损失试验的静置时间时，则应按实际静置时间测定并计算超高性能混凝土扩展度经时损失。</w:t>
      </w:r>
    </w:p>
    <w:p w14:paraId="2336DB1B">
      <w:pPr>
        <w:widowControl/>
        <w:kinsoku/>
        <w:overflowPunct/>
        <w:bidi w:val="0"/>
        <w:spacing w:before="156" w:beforeLines="50" w:after="156" w:afterLines="50" w:line="360" w:lineRule="auto"/>
        <w:jc w:val="both"/>
        <w:outlineLvl w:val="1"/>
        <w:rPr>
          <w:rFonts w:hint="eastAsia" w:ascii="黑体" w:hAnsi="黑体" w:eastAsia="黑体" w:cs="黑体"/>
          <w:b w:val="0"/>
          <w:bCs/>
          <w:color w:val="auto"/>
          <w:kern w:val="0"/>
          <w:szCs w:val="20"/>
          <w:highlight w:val="none"/>
        </w:rPr>
      </w:pPr>
      <w:bookmarkStart w:id="19" w:name="_Toc17278"/>
      <w:r>
        <w:rPr>
          <w:rFonts w:hint="eastAsia" w:ascii="黑体" w:hAnsi="黑体" w:eastAsia="黑体" w:cs="黑体"/>
          <w:b w:val="0"/>
          <w:bCs/>
          <w:color w:val="auto"/>
          <w:kern w:val="0"/>
          <w:szCs w:val="20"/>
          <w:highlight w:val="none"/>
        </w:rPr>
        <w:t>5.3 扩展时间试验</w:t>
      </w:r>
      <w:bookmarkEnd w:id="19"/>
    </w:p>
    <w:p w14:paraId="792B0276">
      <w:pPr>
        <w:kinsoku/>
        <w:overflowPunct/>
        <w:bidi w:val="0"/>
        <w:spacing w:line="360" w:lineRule="auto"/>
        <w:outlineLvl w:val="9"/>
        <w:rPr>
          <w:color w:val="auto"/>
          <w:highlight w:val="none"/>
        </w:rPr>
      </w:pPr>
      <w:r>
        <w:rPr>
          <w:rFonts w:hint="eastAsia"/>
          <w:color w:val="auto"/>
          <w:highlight w:val="none"/>
        </w:rPr>
        <w:t>5</w:t>
      </w:r>
      <w:r>
        <w:rPr>
          <w:color w:val="auto"/>
          <w:highlight w:val="none"/>
        </w:rPr>
        <w:t>.</w:t>
      </w:r>
      <w:r>
        <w:rPr>
          <w:rFonts w:hint="eastAsia"/>
          <w:color w:val="auto"/>
          <w:highlight w:val="none"/>
        </w:rPr>
        <w:t>3</w:t>
      </w:r>
      <w:r>
        <w:rPr>
          <w:color w:val="auto"/>
          <w:highlight w:val="none"/>
        </w:rPr>
        <w:t>.1本试验方法可用于</w:t>
      </w:r>
      <w:r>
        <w:rPr>
          <w:rFonts w:hint="eastAsia"/>
          <w:color w:val="auto"/>
          <w:highlight w:val="none"/>
          <w:lang w:val="en-US" w:eastAsia="zh-CN"/>
        </w:rPr>
        <w:t>超高性能</w:t>
      </w:r>
      <w:r>
        <w:rPr>
          <w:color w:val="auto"/>
          <w:highlight w:val="none"/>
        </w:rPr>
        <w:t>混凝土拌合物稠度和填充性的测定</w:t>
      </w:r>
      <w:r>
        <w:rPr>
          <w:rFonts w:hint="eastAsia"/>
          <w:color w:val="auto"/>
          <w:highlight w:val="none"/>
        </w:rPr>
        <w:t>。</w:t>
      </w:r>
    </w:p>
    <w:p w14:paraId="020A66D3">
      <w:pPr>
        <w:kinsoku/>
        <w:overflowPunct/>
        <w:bidi w:val="0"/>
        <w:spacing w:line="360" w:lineRule="auto"/>
        <w:outlineLvl w:val="9"/>
        <w:rPr>
          <w:color w:val="auto"/>
          <w:highlight w:val="none"/>
        </w:rPr>
      </w:pPr>
      <w:r>
        <w:rPr>
          <w:rFonts w:hint="eastAsia"/>
          <w:color w:val="auto"/>
          <w:highlight w:val="none"/>
        </w:rPr>
        <w:t>5</w:t>
      </w:r>
      <w:r>
        <w:rPr>
          <w:color w:val="auto"/>
          <w:highlight w:val="none"/>
        </w:rPr>
        <w:t>.</w:t>
      </w:r>
      <w:r>
        <w:rPr>
          <w:rFonts w:hint="eastAsia"/>
          <w:color w:val="auto"/>
          <w:highlight w:val="none"/>
        </w:rPr>
        <w:t>3</w:t>
      </w:r>
      <w:r>
        <w:rPr>
          <w:color w:val="auto"/>
          <w:highlight w:val="none"/>
        </w:rPr>
        <w:t>.2 扩展时间试验的试验设备应符合下列规定</w:t>
      </w:r>
      <w:r>
        <w:rPr>
          <w:rFonts w:hint="eastAsia"/>
          <w:color w:val="auto"/>
          <w:highlight w:val="none"/>
        </w:rPr>
        <w:t>：</w:t>
      </w:r>
    </w:p>
    <w:p w14:paraId="64176D2A">
      <w:pPr>
        <w:kinsoku/>
        <w:overflowPunct/>
        <w:bidi w:val="0"/>
        <w:spacing w:line="360" w:lineRule="auto"/>
        <w:ind w:firstLine="420" w:firstLineChars="200"/>
        <w:rPr>
          <w:color w:val="auto"/>
          <w:highlight w:val="none"/>
        </w:rPr>
      </w:pPr>
      <w:r>
        <w:rPr>
          <w:color w:val="auto"/>
          <w:highlight w:val="none"/>
        </w:rPr>
        <w:t>1 混凝土坍落度仪应符合JG/T 248的规定</w:t>
      </w:r>
      <w:r>
        <w:rPr>
          <w:rFonts w:hint="eastAsia"/>
          <w:color w:val="auto"/>
          <w:highlight w:val="none"/>
        </w:rPr>
        <w:t>；</w:t>
      </w:r>
    </w:p>
    <w:p w14:paraId="71C3CD28">
      <w:pPr>
        <w:kinsoku/>
        <w:overflowPunct/>
        <w:bidi w:val="0"/>
        <w:spacing w:line="360" w:lineRule="auto"/>
        <w:ind w:firstLine="420" w:firstLineChars="200"/>
        <w:rPr>
          <w:color w:val="auto"/>
          <w:highlight w:val="none"/>
        </w:rPr>
      </w:pPr>
      <w:r>
        <w:rPr>
          <w:color w:val="auto"/>
          <w:highlight w:val="none"/>
        </w:rPr>
        <w:t>2 底板应采用平面尺寸不小于1000mm</w:t>
      </w:r>
      <w:r>
        <w:rPr>
          <w:rFonts w:hint="eastAsia"/>
          <w:color w:val="auto"/>
          <w:highlight w:val="none"/>
        </w:rPr>
        <w:t>×</w:t>
      </w:r>
      <w:r>
        <w:rPr>
          <w:color w:val="auto"/>
          <w:highlight w:val="none"/>
        </w:rPr>
        <w:t>1000mm、最大挠度不大于3mm的钢板，并应在平板表面标出坍落度筒的中心位置和直径分别为200mm、300mm、500mm、600mm、700mm、800mm及900mm的同心圆(</w:t>
      </w:r>
      <w:r>
        <w:rPr>
          <w:rFonts w:hint="eastAsia"/>
          <w:color w:val="auto"/>
          <w:highlight w:val="none"/>
        </w:rPr>
        <w:t>图5</w:t>
      </w:r>
      <w:r>
        <w:rPr>
          <w:color w:val="auto"/>
          <w:highlight w:val="none"/>
        </w:rPr>
        <w:t>.</w:t>
      </w:r>
      <w:r>
        <w:rPr>
          <w:rFonts w:hint="eastAsia"/>
          <w:color w:val="auto"/>
          <w:highlight w:val="none"/>
        </w:rPr>
        <w:t>3</w:t>
      </w:r>
      <w:r>
        <w:rPr>
          <w:color w:val="auto"/>
          <w:highlight w:val="none"/>
        </w:rPr>
        <w:t>.2)</w:t>
      </w:r>
      <w:r>
        <w:rPr>
          <w:rFonts w:hint="eastAsia"/>
          <w:color w:val="auto"/>
          <w:highlight w:val="none"/>
        </w:rPr>
        <w:t>；</w:t>
      </w:r>
    </w:p>
    <w:p w14:paraId="7FA273C2">
      <w:pPr>
        <w:kinsoku/>
        <w:overflowPunct/>
        <w:bidi w:val="0"/>
        <w:spacing w:line="360" w:lineRule="auto"/>
        <w:jc w:val="center"/>
        <w:rPr>
          <w:color w:val="auto"/>
          <w:highlight w:val="none"/>
        </w:rPr>
      </w:pPr>
      <w:r>
        <w:rPr>
          <w:color w:val="auto"/>
          <w:highlight w:val="none"/>
        </w:rPr>
        <w:drawing>
          <wp:inline distT="0" distB="0" distL="114300" distR="114300">
            <wp:extent cx="1489710" cy="1346835"/>
            <wp:effectExtent l="0" t="0" r="5715" b="5715"/>
            <wp:docPr id="311455022" name="图片 311455022" descr="175004169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55022" name="图片 311455022" descr="1750041699616"/>
                    <pic:cNvPicPr>
                      <a:picLocks noChangeAspect="1"/>
                    </pic:cNvPicPr>
                  </pic:nvPicPr>
                  <pic:blipFill>
                    <a:blip r:embed="rId13"/>
                    <a:stretch>
                      <a:fillRect/>
                    </a:stretch>
                  </pic:blipFill>
                  <pic:spPr>
                    <a:xfrm>
                      <a:off x="0" y="0"/>
                      <a:ext cx="1489710" cy="1346835"/>
                    </a:xfrm>
                    <a:prstGeom prst="rect">
                      <a:avLst/>
                    </a:prstGeom>
                  </pic:spPr>
                </pic:pic>
              </a:graphicData>
            </a:graphic>
          </wp:inline>
        </w:drawing>
      </w:r>
    </w:p>
    <w:p w14:paraId="163FDFFA">
      <w:pPr>
        <w:kinsoku/>
        <w:overflowPunct/>
        <w:bidi w:val="0"/>
        <w:spacing w:line="360" w:lineRule="auto"/>
        <w:jc w:val="center"/>
        <w:rPr>
          <w:color w:val="auto"/>
          <w:highlight w:val="none"/>
        </w:rPr>
      </w:pPr>
      <w:r>
        <w:rPr>
          <w:rFonts w:hint="eastAsia"/>
          <w:color w:val="auto"/>
          <w:highlight w:val="none"/>
        </w:rPr>
        <w:t>图5.3.2 底板（mm）</w:t>
      </w:r>
    </w:p>
    <w:p w14:paraId="2B802F19">
      <w:pPr>
        <w:kinsoku/>
        <w:overflowPunct/>
        <w:bidi w:val="0"/>
        <w:spacing w:line="360" w:lineRule="auto"/>
        <w:ind w:firstLine="420" w:firstLineChars="200"/>
        <w:rPr>
          <w:color w:val="auto"/>
          <w:highlight w:val="none"/>
        </w:rPr>
      </w:pPr>
      <w:r>
        <w:rPr>
          <w:rFonts w:hint="eastAsia"/>
          <w:color w:val="auto"/>
          <w:highlight w:val="none"/>
        </w:rPr>
        <w:t xml:space="preserve">3 </w:t>
      </w:r>
      <w:r>
        <w:rPr>
          <w:color w:val="auto"/>
          <w:highlight w:val="none"/>
        </w:rPr>
        <w:t>盛料容器不应小于8L，并易于向坍落度筒装填混凝土拌合物</w:t>
      </w:r>
      <w:r>
        <w:rPr>
          <w:rFonts w:hint="eastAsia"/>
          <w:color w:val="auto"/>
          <w:highlight w:val="none"/>
        </w:rPr>
        <w:t>；</w:t>
      </w:r>
    </w:p>
    <w:p w14:paraId="6F9B8B2D">
      <w:pPr>
        <w:kinsoku/>
        <w:overflowPunct/>
        <w:bidi w:val="0"/>
        <w:spacing w:line="360" w:lineRule="auto"/>
        <w:ind w:firstLine="420" w:firstLineChars="200"/>
        <w:rPr>
          <w:color w:val="auto"/>
          <w:highlight w:val="none"/>
        </w:rPr>
      </w:pPr>
      <w:r>
        <w:rPr>
          <w:color w:val="auto"/>
          <w:highlight w:val="none"/>
        </w:rPr>
        <w:t>4 秒表精度不应低于0.1s。</w:t>
      </w:r>
    </w:p>
    <w:p w14:paraId="3D3726EC">
      <w:pPr>
        <w:kinsoku/>
        <w:overflowPunct/>
        <w:bidi w:val="0"/>
        <w:spacing w:line="360" w:lineRule="auto"/>
        <w:outlineLvl w:val="9"/>
        <w:rPr>
          <w:color w:val="auto"/>
          <w:highlight w:val="none"/>
        </w:rPr>
      </w:pPr>
      <w:r>
        <w:rPr>
          <w:rFonts w:hint="eastAsia"/>
          <w:color w:val="auto"/>
          <w:highlight w:val="none"/>
        </w:rPr>
        <w:t>5</w:t>
      </w:r>
      <w:r>
        <w:rPr>
          <w:color w:val="auto"/>
          <w:highlight w:val="none"/>
        </w:rPr>
        <w:t>.</w:t>
      </w:r>
      <w:r>
        <w:rPr>
          <w:rFonts w:hint="eastAsia"/>
          <w:color w:val="auto"/>
          <w:highlight w:val="none"/>
        </w:rPr>
        <w:t>3</w:t>
      </w:r>
      <w:r>
        <w:rPr>
          <w:color w:val="auto"/>
          <w:highlight w:val="none"/>
        </w:rPr>
        <w:t>.3</w:t>
      </w:r>
      <w:r>
        <w:rPr>
          <w:rFonts w:hint="eastAsia"/>
          <w:color w:val="auto"/>
          <w:highlight w:val="none"/>
        </w:rPr>
        <w:t xml:space="preserve"> </w:t>
      </w:r>
      <w:r>
        <w:rPr>
          <w:color w:val="auto"/>
          <w:highlight w:val="none"/>
        </w:rPr>
        <w:t>扩展时间试验应按下列步骤进行</w:t>
      </w:r>
      <w:r>
        <w:rPr>
          <w:rFonts w:hint="eastAsia"/>
          <w:color w:val="auto"/>
          <w:highlight w:val="none"/>
        </w:rPr>
        <w:t>：</w:t>
      </w:r>
    </w:p>
    <w:p w14:paraId="07DD0308">
      <w:pPr>
        <w:kinsoku/>
        <w:overflowPunct/>
        <w:bidi w:val="0"/>
        <w:spacing w:line="360" w:lineRule="auto"/>
        <w:ind w:firstLine="420" w:firstLineChars="200"/>
        <w:rPr>
          <w:color w:val="auto"/>
          <w:highlight w:val="none"/>
        </w:rPr>
      </w:pPr>
      <w:r>
        <w:rPr>
          <w:color w:val="auto"/>
          <w:highlight w:val="none"/>
        </w:rPr>
        <w:t>1 底板应放置在坚实的水平面上，底板和坍落度筒内壁应润湿无明水，坍落度筒应放在底板中心，并在装料时应保持在固定的位置</w:t>
      </w:r>
      <w:r>
        <w:rPr>
          <w:rFonts w:hint="eastAsia"/>
          <w:color w:val="auto"/>
          <w:highlight w:val="none"/>
        </w:rPr>
        <w:t>；</w:t>
      </w:r>
    </w:p>
    <w:p w14:paraId="44C9EE79">
      <w:pPr>
        <w:kinsoku/>
        <w:overflowPunct/>
        <w:bidi w:val="0"/>
        <w:spacing w:line="360" w:lineRule="auto"/>
        <w:ind w:firstLine="420" w:firstLineChars="200"/>
        <w:rPr>
          <w:color w:val="auto"/>
          <w:highlight w:val="none"/>
        </w:rPr>
      </w:pPr>
      <w:r>
        <w:rPr>
          <w:color w:val="auto"/>
          <w:highlight w:val="none"/>
        </w:rPr>
        <w:t>2</w:t>
      </w:r>
      <w:r>
        <w:rPr>
          <w:rFonts w:hint="eastAsia"/>
          <w:color w:val="auto"/>
          <w:highlight w:val="none"/>
        </w:rPr>
        <w:t xml:space="preserve"> </w:t>
      </w:r>
      <w:r>
        <w:rPr>
          <w:color w:val="auto"/>
          <w:highlight w:val="none"/>
        </w:rPr>
        <w:t>应用盛料容器一次性将</w:t>
      </w:r>
      <w:r>
        <w:rPr>
          <w:rFonts w:hint="eastAsia"/>
          <w:color w:val="auto"/>
          <w:highlight w:val="none"/>
          <w:lang w:eastAsia="zh"/>
          <w:woUserID w:val="2"/>
        </w:rPr>
        <w:t>超高性能</w:t>
      </w:r>
      <w:r>
        <w:rPr>
          <w:color w:val="auto"/>
          <w:highlight w:val="none"/>
        </w:rPr>
        <w:t>混凝土拌合物均填满坍落度筒且不得捣实或振动;自开始人料至填充结束应控制在40s以内</w:t>
      </w:r>
      <w:r>
        <w:rPr>
          <w:rFonts w:hint="eastAsia"/>
          <w:color w:val="auto"/>
          <w:highlight w:val="none"/>
        </w:rPr>
        <w:t>；</w:t>
      </w:r>
    </w:p>
    <w:p w14:paraId="11CE6403">
      <w:pPr>
        <w:kinsoku/>
        <w:overflowPunct/>
        <w:bidi w:val="0"/>
        <w:spacing w:line="360" w:lineRule="auto"/>
        <w:ind w:firstLine="420" w:firstLineChars="200"/>
        <w:rPr>
          <w:color w:val="auto"/>
          <w:highlight w:val="none"/>
        </w:rPr>
      </w:pPr>
      <w:r>
        <w:rPr>
          <w:color w:val="auto"/>
          <w:highlight w:val="none"/>
        </w:rPr>
        <w:t>3</w:t>
      </w:r>
      <w:r>
        <w:rPr>
          <w:rFonts w:hint="eastAsia"/>
          <w:color w:val="auto"/>
          <w:highlight w:val="none"/>
        </w:rPr>
        <w:t xml:space="preserve"> </w:t>
      </w:r>
      <w:r>
        <w:rPr>
          <w:color w:val="auto"/>
          <w:highlight w:val="none"/>
        </w:rPr>
        <w:t>取下装料漏斗，应将</w:t>
      </w:r>
      <w:r>
        <w:rPr>
          <w:rFonts w:hint="eastAsia"/>
          <w:color w:val="auto"/>
          <w:highlight w:val="none"/>
          <w:lang w:eastAsia="zh"/>
          <w:woUserID w:val="2"/>
        </w:rPr>
        <w:t>超高性能</w:t>
      </w:r>
      <w:r>
        <w:rPr>
          <w:color w:val="auto"/>
          <w:highlight w:val="none"/>
        </w:rPr>
        <w:t>混凝土拌合物沿坍落度筒口抹平;清除筒边底板上的混凝土拌合物后，应垂直平稳地提起坍落度筒至250mm</w:t>
      </w:r>
      <w:r>
        <w:rPr>
          <w:rFonts w:hint="eastAsia"/>
          <w:color w:val="auto"/>
          <w:highlight w:val="none"/>
        </w:rPr>
        <w:t>±</w:t>
      </w:r>
      <w:r>
        <w:rPr>
          <w:color w:val="auto"/>
          <w:highlight w:val="none"/>
        </w:rPr>
        <w:t>50mm高度，提起时间宜控制在3s~7s</w:t>
      </w:r>
      <w:r>
        <w:rPr>
          <w:rFonts w:hint="eastAsia"/>
          <w:color w:val="auto"/>
          <w:highlight w:val="none"/>
        </w:rPr>
        <w:t>；</w:t>
      </w:r>
    </w:p>
    <w:p w14:paraId="35DF8894">
      <w:pPr>
        <w:kinsoku/>
        <w:overflowPunct/>
        <w:bidi w:val="0"/>
        <w:spacing w:line="360" w:lineRule="auto"/>
        <w:ind w:firstLine="420" w:firstLineChars="200"/>
        <w:rPr>
          <w:color w:val="auto"/>
          <w:highlight w:val="none"/>
        </w:rPr>
      </w:pPr>
      <w:r>
        <w:rPr>
          <w:color w:val="auto"/>
          <w:highlight w:val="none"/>
        </w:rPr>
        <w:t>4 测定扩展时间时，应自坍落度筒提离地面时开始，至扩展开的</w:t>
      </w:r>
      <w:r>
        <w:rPr>
          <w:rFonts w:hint="eastAsia"/>
          <w:color w:val="auto"/>
          <w:highlight w:val="none"/>
          <w:lang w:eastAsia="zh"/>
          <w:woUserID w:val="2"/>
        </w:rPr>
        <w:t>超高性能</w:t>
      </w:r>
      <w:r>
        <w:rPr>
          <w:color w:val="auto"/>
          <w:highlight w:val="none"/>
        </w:rPr>
        <w:t>混凝土拌合物外缘初触平板上所绘直径500mm的圆周为止，结果精确至0.1s。</w:t>
      </w:r>
    </w:p>
    <w:p w14:paraId="5B87662A">
      <w:pPr>
        <w:widowControl/>
        <w:kinsoku/>
        <w:overflowPunct/>
        <w:bidi w:val="0"/>
        <w:spacing w:before="156" w:beforeLines="50" w:after="156" w:afterLines="50" w:line="360" w:lineRule="auto"/>
        <w:jc w:val="both"/>
        <w:outlineLvl w:val="1"/>
        <w:rPr>
          <w:rFonts w:hint="eastAsia" w:ascii="黑体" w:hAnsi="黑体" w:eastAsia="黑体" w:cs="黑体"/>
          <w:b w:val="0"/>
          <w:bCs/>
          <w:color w:val="auto"/>
          <w:kern w:val="0"/>
          <w:szCs w:val="20"/>
          <w:highlight w:val="none"/>
        </w:rPr>
      </w:pPr>
      <w:bookmarkStart w:id="20" w:name="_Toc22392"/>
      <w:r>
        <w:rPr>
          <w:rFonts w:hint="eastAsia" w:ascii="黑体" w:hAnsi="黑体" w:eastAsia="黑体" w:cs="黑体"/>
          <w:b w:val="0"/>
          <w:bCs/>
          <w:color w:val="auto"/>
          <w:kern w:val="0"/>
          <w:szCs w:val="20"/>
          <w:highlight w:val="none"/>
        </w:rPr>
        <w:t>5.4 凝结时间</w:t>
      </w:r>
      <w:bookmarkEnd w:id="20"/>
    </w:p>
    <w:p w14:paraId="358D7E5A">
      <w:pPr>
        <w:kinsoku/>
        <w:overflowPunct/>
        <w:bidi w:val="0"/>
        <w:spacing w:line="360" w:lineRule="auto"/>
        <w:outlineLvl w:val="9"/>
        <w:rPr>
          <w:color w:val="auto"/>
          <w:highlight w:val="none"/>
        </w:rPr>
      </w:pPr>
      <w:r>
        <w:rPr>
          <w:rFonts w:hint="eastAsia"/>
          <w:color w:val="auto"/>
          <w:highlight w:val="none"/>
        </w:rPr>
        <w:t>5</w:t>
      </w:r>
      <w:r>
        <w:rPr>
          <w:color w:val="auto"/>
          <w:highlight w:val="none"/>
        </w:rPr>
        <w:t>.4.1 本方法适用于超高性能混凝土用贯</w:t>
      </w:r>
      <w:r>
        <w:rPr>
          <w:rFonts w:hint="eastAsia"/>
          <w:color w:val="auto"/>
          <w:highlight w:val="none"/>
        </w:rPr>
        <w:t>入</w:t>
      </w:r>
      <w:r>
        <w:rPr>
          <w:color w:val="auto"/>
          <w:highlight w:val="none"/>
        </w:rPr>
        <w:t>阻力法测定</w:t>
      </w:r>
      <w:r>
        <w:rPr>
          <w:rFonts w:hint="eastAsia"/>
          <w:color w:val="auto"/>
          <w:highlight w:val="none"/>
        </w:rPr>
        <w:t>坍落度值不为零的</w:t>
      </w:r>
      <w:r>
        <w:rPr>
          <w:color w:val="auto"/>
          <w:highlight w:val="none"/>
        </w:rPr>
        <w:t>超高性能混凝土拌合物的初凝时间与终凝时间</w:t>
      </w:r>
      <w:r>
        <w:rPr>
          <w:rFonts w:hint="eastAsia"/>
          <w:color w:val="auto"/>
          <w:highlight w:val="none"/>
        </w:rPr>
        <w:t>。</w:t>
      </w:r>
    </w:p>
    <w:p w14:paraId="10350828">
      <w:pPr>
        <w:kinsoku/>
        <w:overflowPunct/>
        <w:bidi w:val="0"/>
        <w:spacing w:line="360" w:lineRule="auto"/>
        <w:outlineLvl w:val="9"/>
        <w:rPr>
          <w:color w:val="auto"/>
          <w:highlight w:val="none"/>
        </w:rPr>
      </w:pPr>
      <w:r>
        <w:rPr>
          <w:rFonts w:hint="eastAsia"/>
          <w:color w:val="auto"/>
          <w:highlight w:val="none"/>
        </w:rPr>
        <w:t>5</w:t>
      </w:r>
      <w:r>
        <w:rPr>
          <w:color w:val="auto"/>
          <w:highlight w:val="none"/>
        </w:rPr>
        <w:t>.</w:t>
      </w:r>
      <w:r>
        <w:rPr>
          <w:rFonts w:hint="eastAsia"/>
          <w:color w:val="auto"/>
          <w:highlight w:val="none"/>
        </w:rPr>
        <w:t>4</w:t>
      </w:r>
      <w:r>
        <w:rPr>
          <w:color w:val="auto"/>
          <w:highlight w:val="none"/>
        </w:rPr>
        <w:t>.2</w:t>
      </w:r>
      <w:r>
        <w:rPr>
          <w:rFonts w:hint="eastAsia"/>
          <w:color w:val="auto"/>
          <w:highlight w:val="none"/>
        </w:rPr>
        <w:t xml:space="preserve"> </w:t>
      </w:r>
      <w:r>
        <w:rPr>
          <w:color w:val="auto"/>
          <w:highlight w:val="none"/>
        </w:rPr>
        <w:t>凝结时间试验的试验设备应符合下列规定</w:t>
      </w:r>
      <w:r>
        <w:rPr>
          <w:rFonts w:hint="eastAsia"/>
          <w:color w:val="auto"/>
          <w:highlight w:val="none"/>
        </w:rPr>
        <w:t>：</w:t>
      </w:r>
    </w:p>
    <w:p w14:paraId="5D86A89E">
      <w:pPr>
        <w:kinsoku/>
        <w:overflowPunct/>
        <w:bidi w:val="0"/>
        <w:spacing w:line="360" w:lineRule="auto"/>
        <w:ind w:firstLine="420" w:firstLineChars="200"/>
        <w:rPr>
          <w:color w:val="auto"/>
          <w:highlight w:val="none"/>
        </w:rPr>
      </w:pPr>
      <w:r>
        <w:rPr>
          <w:rFonts w:hint="eastAsia"/>
          <w:color w:val="auto"/>
          <w:highlight w:val="none"/>
        </w:rPr>
        <w:t xml:space="preserve">1 </w:t>
      </w:r>
      <w:r>
        <w:rPr>
          <w:color w:val="auto"/>
          <w:highlight w:val="none"/>
        </w:rPr>
        <w:t>贯入阻力仪的最大测量值不应小于1000N，精度应为1</w:t>
      </w:r>
      <w:r>
        <w:rPr>
          <w:rFonts w:hint="eastAsia"/>
          <w:color w:val="auto"/>
          <w:highlight w:val="none"/>
        </w:rPr>
        <w:t>±</w:t>
      </w:r>
      <w:r>
        <w:rPr>
          <w:color w:val="auto"/>
          <w:highlight w:val="none"/>
        </w:rPr>
        <w:t>10N</w:t>
      </w:r>
      <w:r>
        <w:rPr>
          <w:rFonts w:hint="eastAsia"/>
          <w:color w:val="auto"/>
          <w:highlight w:val="none"/>
        </w:rPr>
        <w:t>；</w:t>
      </w:r>
      <w:r>
        <w:rPr>
          <w:color w:val="auto"/>
          <w:highlight w:val="none"/>
        </w:rPr>
        <w:t>测针长100mm，在距贯入端25mm处应有明显标记</w:t>
      </w:r>
      <w:r>
        <w:rPr>
          <w:rFonts w:hint="eastAsia"/>
          <w:color w:val="auto"/>
          <w:highlight w:val="none"/>
        </w:rPr>
        <w:t>；</w:t>
      </w:r>
      <w:r>
        <w:rPr>
          <w:color w:val="auto"/>
          <w:highlight w:val="none"/>
        </w:rPr>
        <w:t>测针的承压面积应为100mm</w:t>
      </w:r>
      <w:r>
        <w:rPr>
          <w:rFonts w:hint="eastAsia"/>
          <w:color w:val="auto"/>
          <w:highlight w:val="none"/>
          <w:vertAlign w:val="superscript"/>
        </w:rPr>
        <w:t>2</w:t>
      </w:r>
      <w:r>
        <w:rPr>
          <w:color w:val="auto"/>
          <w:highlight w:val="none"/>
        </w:rPr>
        <w:t>、50mm</w:t>
      </w:r>
      <w:r>
        <w:rPr>
          <w:rFonts w:hint="eastAsia"/>
          <w:color w:val="auto"/>
          <w:highlight w:val="none"/>
          <w:vertAlign w:val="superscript"/>
        </w:rPr>
        <w:t>2</w:t>
      </w:r>
      <w:r>
        <w:rPr>
          <w:color w:val="auto"/>
          <w:highlight w:val="none"/>
        </w:rPr>
        <w:t>和20mm</w:t>
      </w:r>
      <w:r>
        <w:rPr>
          <w:rFonts w:hint="eastAsia"/>
          <w:color w:val="auto"/>
          <w:highlight w:val="none"/>
          <w:vertAlign w:val="superscript"/>
        </w:rPr>
        <w:t>2</w:t>
      </w:r>
      <w:r>
        <w:rPr>
          <w:color w:val="auto"/>
          <w:highlight w:val="none"/>
        </w:rPr>
        <w:t>三种</w:t>
      </w:r>
      <w:r>
        <w:rPr>
          <w:rFonts w:hint="eastAsia"/>
          <w:color w:val="auto"/>
          <w:highlight w:val="none"/>
        </w:rPr>
        <w:t>；</w:t>
      </w:r>
    </w:p>
    <w:p w14:paraId="11FF972F">
      <w:pPr>
        <w:kinsoku/>
        <w:overflowPunct/>
        <w:bidi w:val="0"/>
        <w:spacing w:line="360" w:lineRule="auto"/>
        <w:ind w:firstLine="420" w:firstLineChars="200"/>
        <w:rPr>
          <w:color w:val="auto"/>
          <w:highlight w:val="none"/>
        </w:rPr>
      </w:pPr>
      <w:r>
        <w:rPr>
          <w:color w:val="auto"/>
          <w:highlight w:val="none"/>
        </w:rPr>
        <w:t>2 砂浆试样筒应为上口内径160mm，下口内径150mm，净高150mm刚性不透水的金属圆筒，并配有盖子</w:t>
      </w:r>
      <w:r>
        <w:rPr>
          <w:rFonts w:hint="eastAsia"/>
          <w:color w:val="auto"/>
          <w:highlight w:val="none"/>
        </w:rPr>
        <w:t>；</w:t>
      </w:r>
    </w:p>
    <w:p w14:paraId="15579B20">
      <w:pPr>
        <w:kinsoku/>
        <w:overflowPunct/>
        <w:bidi w:val="0"/>
        <w:spacing w:line="360" w:lineRule="auto"/>
        <w:ind w:firstLine="420" w:firstLineChars="200"/>
        <w:rPr>
          <w:color w:val="auto"/>
          <w:highlight w:val="none"/>
        </w:rPr>
      </w:pPr>
      <w:r>
        <w:rPr>
          <w:color w:val="auto"/>
          <w:highlight w:val="none"/>
        </w:rPr>
        <w:t>3 试验筛应为筛孔公称直径为5.00mm的方孔筛，并应符合GB/T</w:t>
      </w:r>
      <w:r>
        <w:rPr>
          <w:rFonts w:hint="eastAsia"/>
          <w:color w:val="auto"/>
          <w:highlight w:val="none"/>
        </w:rPr>
        <w:t xml:space="preserve"> </w:t>
      </w:r>
      <w:r>
        <w:rPr>
          <w:color w:val="auto"/>
          <w:highlight w:val="none"/>
        </w:rPr>
        <w:t>6003.2的规定</w:t>
      </w:r>
      <w:r>
        <w:rPr>
          <w:rFonts w:hint="eastAsia"/>
          <w:color w:val="auto"/>
          <w:highlight w:val="none"/>
        </w:rPr>
        <w:t>；</w:t>
      </w:r>
    </w:p>
    <w:p w14:paraId="5CE6E52D">
      <w:pPr>
        <w:kinsoku/>
        <w:overflowPunct/>
        <w:bidi w:val="0"/>
        <w:spacing w:line="360" w:lineRule="auto"/>
        <w:ind w:firstLine="420" w:firstLineChars="200"/>
        <w:rPr>
          <w:color w:val="auto"/>
          <w:highlight w:val="none"/>
        </w:rPr>
      </w:pPr>
      <w:r>
        <w:rPr>
          <w:color w:val="auto"/>
          <w:highlight w:val="none"/>
        </w:rPr>
        <w:t>4 振动台应符合JG/T 245 的规定</w:t>
      </w:r>
      <w:r>
        <w:rPr>
          <w:rFonts w:hint="eastAsia"/>
          <w:color w:val="auto"/>
          <w:highlight w:val="none"/>
        </w:rPr>
        <w:t>；</w:t>
      </w:r>
    </w:p>
    <w:p w14:paraId="20F2E549">
      <w:pPr>
        <w:kinsoku/>
        <w:overflowPunct/>
        <w:bidi w:val="0"/>
        <w:spacing w:line="360" w:lineRule="auto"/>
        <w:ind w:firstLine="420" w:firstLineChars="200"/>
        <w:rPr>
          <w:color w:val="auto"/>
          <w:highlight w:val="none"/>
        </w:rPr>
      </w:pPr>
      <w:r>
        <w:rPr>
          <w:color w:val="auto"/>
          <w:highlight w:val="none"/>
        </w:rPr>
        <w:t>5 捣棒应符合JG/T</w:t>
      </w:r>
      <w:r>
        <w:rPr>
          <w:rFonts w:hint="eastAsia"/>
          <w:color w:val="auto"/>
          <w:highlight w:val="none"/>
        </w:rPr>
        <w:t xml:space="preserve"> </w:t>
      </w:r>
      <w:r>
        <w:rPr>
          <w:color w:val="auto"/>
          <w:highlight w:val="none"/>
        </w:rPr>
        <w:t>248的规定</w:t>
      </w:r>
      <w:r>
        <w:rPr>
          <w:rFonts w:hint="eastAsia"/>
          <w:color w:val="auto"/>
          <w:highlight w:val="none"/>
        </w:rPr>
        <w:t>。</w:t>
      </w:r>
    </w:p>
    <w:p w14:paraId="2152F79D">
      <w:pPr>
        <w:kinsoku/>
        <w:overflowPunct/>
        <w:bidi w:val="0"/>
        <w:spacing w:line="360" w:lineRule="auto"/>
        <w:outlineLvl w:val="9"/>
        <w:rPr>
          <w:color w:val="auto"/>
          <w:highlight w:val="none"/>
        </w:rPr>
      </w:pPr>
      <w:r>
        <w:rPr>
          <w:rFonts w:hint="eastAsia"/>
          <w:color w:val="auto"/>
          <w:highlight w:val="none"/>
        </w:rPr>
        <w:t>5</w:t>
      </w:r>
      <w:r>
        <w:rPr>
          <w:color w:val="auto"/>
          <w:highlight w:val="none"/>
        </w:rPr>
        <w:t>.</w:t>
      </w:r>
      <w:r>
        <w:rPr>
          <w:rFonts w:hint="eastAsia"/>
          <w:color w:val="auto"/>
          <w:highlight w:val="none"/>
        </w:rPr>
        <w:t>4</w:t>
      </w:r>
      <w:r>
        <w:rPr>
          <w:color w:val="auto"/>
          <w:highlight w:val="none"/>
        </w:rPr>
        <w:t xml:space="preserve">.3 </w:t>
      </w:r>
      <w:r>
        <w:rPr>
          <w:rFonts w:hint="eastAsia"/>
          <w:color w:val="auto"/>
          <w:highlight w:val="none"/>
        </w:rPr>
        <w:t>超高性能</w:t>
      </w:r>
      <w:r>
        <w:rPr>
          <w:color w:val="auto"/>
          <w:highlight w:val="none"/>
        </w:rPr>
        <w:t>混凝土拌合物的凝结时间试验应按下列步骤进行</w:t>
      </w:r>
      <w:r>
        <w:rPr>
          <w:rFonts w:hint="eastAsia"/>
          <w:color w:val="auto"/>
          <w:highlight w:val="none"/>
        </w:rPr>
        <w:t>：</w:t>
      </w:r>
    </w:p>
    <w:p w14:paraId="06F21090">
      <w:pPr>
        <w:kinsoku/>
        <w:overflowPunct/>
        <w:bidi w:val="0"/>
        <w:spacing w:line="360" w:lineRule="auto"/>
        <w:ind w:firstLine="420" w:firstLineChars="200"/>
        <w:rPr>
          <w:color w:val="auto"/>
          <w:highlight w:val="none"/>
        </w:rPr>
      </w:pPr>
      <w:r>
        <w:rPr>
          <w:color w:val="auto"/>
          <w:highlight w:val="none"/>
        </w:rPr>
        <w:t>1</w:t>
      </w:r>
      <w:r>
        <w:rPr>
          <w:rFonts w:hint="eastAsia"/>
          <w:color w:val="auto"/>
          <w:highlight w:val="none"/>
        </w:rPr>
        <w:t xml:space="preserve"> </w:t>
      </w:r>
      <w:r>
        <w:rPr>
          <w:color w:val="auto"/>
          <w:highlight w:val="none"/>
        </w:rPr>
        <w:t>应</w:t>
      </w:r>
      <w:r>
        <w:rPr>
          <w:rFonts w:hint="eastAsia"/>
          <w:color w:val="auto"/>
          <w:highlight w:val="none"/>
          <w:lang w:val="en-US" w:eastAsia="zh-CN"/>
        </w:rPr>
        <w:t>将超高性能混凝土拌合物</w:t>
      </w:r>
      <w:r>
        <w:rPr>
          <w:color w:val="auto"/>
          <w:highlight w:val="none"/>
        </w:rPr>
        <w:t>一次分别装入三个试样筒中</w:t>
      </w:r>
      <w:r>
        <w:rPr>
          <w:rFonts w:hint="eastAsia"/>
          <w:color w:val="auto"/>
          <w:highlight w:val="none"/>
          <w:lang w:val="en-US" w:eastAsia="zh-CN"/>
        </w:rPr>
        <w:t>，用橡皮锤轻轻敲击容器外壁使拌合物密实，不得进行插捣</w:t>
      </w:r>
      <w:r>
        <w:rPr>
          <w:color w:val="auto"/>
          <w:highlight w:val="none"/>
        </w:rPr>
        <w:t>。</w:t>
      </w:r>
      <w:r>
        <w:rPr>
          <w:rFonts w:hint="eastAsia"/>
          <w:color w:val="auto"/>
          <w:highlight w:val="none"/>
          <w:lang w:val="en-US" w:eastAsia="zh-CN"/>
        </w:rPr>
        <w:t>超高性能混凝土扩展度小于650mm</w:t>
      </w:r>
      <w:r>
        <w:rPr>
          <w:color w:val="auto"/>
          <w:highlight w:val="none"/>
        </w:rPr>
        <w:t>时，宜用振动台振实。</w:t>
      </w:r>
      <w:r>
        <w:rPr>
          <w:rFonts w:hint="eastAsia"/>
          <w:color w:val="auto"/>
          <w:highlight w:val="none"/>
          <w:lang w:val="en-US" w:eastAsia="zh-CN"/>
        </w:rPr>
        <w:t>当超高性能混凝土拌合物中含有粗骨料时，应采用公称直径为5mm的方孔筛筛除粗骨料后装入试样筒。拌合物</w:t>
      </w:r>
      <w:r>
        <w:rPr>
          <w:color w:val="auto"/>
          <w:highlight w:val="none"/>
        </w:rPr>
        <w:t>表面宜低于砂浆试样筒口10mm，并应立即加盖。</w:t>
      </w:r>
    </w:p>
    <w:p w14:paraId="0F722594">
      <w:pPr>
        <w:kinsoku/>
        <w:overflowPunct/>
        <w:bidi w:val="0"/>
        <w:spacing w:line="360" w:lineRule="auto"/>
        <w:ind w:firstLine="420" w:firstLineChars="200"/>
        <w:rPr>
          <w:color w:val="auto"/>
          <w:highlight w:val="none"/>
        </w:rPr>
      </w:pPr>
      <w:r>
        <w:rPr>
          <w:rFonts w:hint="eastAsia"/>
          <w:color w:val="auto"/>
          <w:highlight w:val="none"/>
        </w:rPr>
        <w:t xml:space="preserve">2 </w:t>
      </w:r>
      <w:r>
        <w:rPr>
          <w:color w:val="auto"/>
          <w:highlight w:val="none"/>
        </w:rPr>
        <w:t>试样制备完毕，应置于温度为20℃</w:t>
      </w:r>
      <w:r>
        <w:rPr>
          <w:rFonts w:hint="eastAsia"/>
          <w:color w:val="auto"/>
          <w:highlight w:val="none"/>
        </w:rPr>
        <w:t>±</w:t>
      </w:r>
      <w:r>
        <w:rPr>
          <w:color w:val="auto"/>
          <w:highlight w:val="none"/>
        </w:rPr>
        <w:t>2℃的环境中待测，并在整个测试过程中，环境温度应始终保持20℃</w:t>
      </w:r>
      <w:r>
        <w:rPr>
          <w:rFonts w:hint="eastAsia"/>
          <w:color w:val="auto"/>
          <w:highlight w:val="none"/>
        </w:rPr>
        <w:t>±</w:t>
      </w:r>
      <w:r>
        <w:rPr>
          <w:color w:val="auto"/>
          <w:highlight w:val="none"/>
        </w:rPr>
        <w:t>2℃在整个测试过程中，除在吸取泌水或进行贯人试验外，试样筒应始终加盖。现场同条件测试时，试验环境应与现场一致。</w:t>
      </w:r>
    </w:p>
    <w:p w14:paraId="29185A43">
      <w:pPr>
        <w:kinsoku/>
        <w:overflowPunct/>
        <w:bidi w:val="0"/>
        <w:spacing w:line="360" w:lineRule="auto"/>
        <w:ind w:firstLine="420" w:firstLineChars="200"/>
        <w:rPr>
          <w:color w:val="auto"/>
          <w:highlight w:val="none"/>
        </w:rPr>
      </w:pPr>
      <w:r>
        <w:rPr>
          <w:color w:val="auto"/>
          <w:highlight w:val="none"/>
        </w:rPr>
        <w:t>3 凝结时间测定从搅拌加水开始计时。根据拌合物的性能，确定测针试验时间，以后每隔0.5h测试一次，在临近初凝和终凝时，应缩短测试间隔时间。</w:t>
      </w:r>
    </w:p>
    <w:p w14:paraId="264B785C">
      <w:pPr>
        <w:kinsoku/>
        <w:overflowPunct/>
        <w:bidi w:val="0"/>
        <w:spacing w:line="360" w:lineRule="auto"/>
        <w:ind w:firstLine="420" w:firstLineChars="200"/>
        <w:rPr>
          <w:color w:val="auto"/>
          <w:highlight w:val="none"/>
        </w:rPr>
      </w:pPr>
      <w:r>
        <w:rPr>
          <w:color w:val="auto"/>
          <w:highlight w:val="none"/>
        </w:rPr>
        <w:t>4</w:t>
      </w:r>
      <w:r>
        <w:rPr>
          <w:rFonts w:hint="eastAsia"/>
          <w:color w:val="auto"/>
          <w:highlight w:val="none"/>
        </w:rPr>
        <w:t xml:space="preserve"> </w:t>
      </w:r>
      <w:r>
        <w:rPr>
          <w:color w:val="auto"/>
          <w:highlight w:val="none"/>
        </w:rPr>
        <w:t>在每次测试前2min，将一片20mm</w:t>
      </w:r>
      <w:r>
        <w:rPr>
          <w:rFonts w:hint="eastAsia"/>
          <w:color w:val="auto"/>
          <w:highlight w:val="none"/>
        </w:rPr>
        <w:t>±</w:t>
      </w:r>
      <w:r>
        <w:rPr>
          <w:color w:val="auto"/>
          <w:highlight w:val="none"/>
        </w:rPr>
        <w:t>5mm厚的垫块垫</w:t>
      </w:r>
      <w:r>
        <w:rPr>
          <w:rFonts w:hint="eastAsia"/>
          <w:color w:val="auto"/>
          <w:highlight w:val="none"/>
        </w:rPr>
        <w:t>入</w:t>
      </w:r>
      <w:r>
        <w:rPr>
          <w:color w:val="auto"/>
          <w:highlight w:val="none"/>
        </w:rPr>
        <w:t>筒底一侧使其倾斜，用吸液管吸去表面的泌水，吸水后应复原</w:t>
      </w:r>
      <w:r>
        <w:rPr>
          <w:rFonts w:hint="eastAsia"/>
          <w:color w:val="auto"/>
          <w:highlight w:val="none"/>
        </w:rPr>
        <w:t>。</w:t>
      </w:r>
    </w:p>
    <w:p w14:paraId="385527DB">
      <w:pPr>
        <w:kinsoku/>
        <w:overflowPunct/>
        <w:bidi w:val="0"/>
        <w:spacing w:line="360" w:lineRule="auto"/>
        <w:ind w:firstLine="420" w:firstLineChars="200"/>
        <w:rPr>
          <w:color w:val="auto"/>
          <w:highlight w:val="none"/>
        </w:rPr>
      </w:pPr>
      <w:r>
        <w:rPr>
          <w:color w:val="auto"/>
          <w:highlight w:val="none"/>
        </w:rPr>
        <w:t>5 测试时，将试样筒置于贯入阻力仪上，测针端部与砂浆表面接触，应在10s</w:t>
      </w:r>
      <w:r>
        <w:rPr>
          <w:rFonts w:hint="eastAsia"/>
          <w:color w:val="auto"/>
          <w:highlight w:val="none"/>
        </w:rPr>
        <w:t>±</w:t>
      </w:r>
      <w:r>
        <w:rPr>
          <w:color w:val="auto"/>
          <w:highlight w:val="none"/>
        </w:rPr>
        <w:t>2s内均匀地使测针贯人砂浆25mm</w:t>
      </w:r>
      <w:r>
        <w:rPr>
          <w:rFonts w:hint="eastAsia"/>
          <w:color w:val="auto"/>
          <w:highlight w:val="none"/>
        </w:rPr>
        <w:t>±</w:t>
      </w:r>
      <w:r>
        <w:rPr>
          <w:color w:val="auto"/>
          <w:highlight w:val="none"/>
        </w:rPr>
        <w:t>2mm深度，记录最大贯入阻力值，精确至10N</w:t>
      </w:r>
      <w:r>
        <w:rPr>
          <w:rFonts w:hint="eastAsia"/>
          <w:color w:val="auto"/>
          <w:highlight w:val="none"/>
        </w:rPr>
        <w:t>；</w:t>
      </w:r>
      <w:r>
        <w:rPr>
          <w:color w:val="auto"/>
          <w:highlight w:val="none"/>
        </w:rPr>
        <w:t>记录测试时间精确至1min。</w:t>
      </w:r>
    </w:p>
    <w:p w14:paraId="35E6CC82">
      <w:pPr>
        <w:kinsoku/>
        <w:overflowPunct/>
        <w:bidi w:val="0"/>
        <w:spacing w:line="360" w:lineRule="auto"/>
        <w:ind w:firstLine="420" w:firstLineChars="200"/>
        <w:rPr>
          <w:color w:val="auto"/>
          <w:highlight w:val="none"/>
        </w:rPr>
      </w:pPr>
      <w:r>
        <w:rPr>
          <w:color w:val="auto"/>
          <w:highlight w:val="none"/>
        </w:rPr>
        <w:t>6 每个筒每次测1个~2个点，各测点的间距不应小于15mm，测点与试样筒壁的距离不应小于25mm。</w:t>
      </w:r>
    </w:p>
    <w:p w14:paraId="724069CB">
      <w:pPr>
        <w:kinsoku/>
        <w:overflowPunct/>
        <w:bidi w:val="0"/>
        <w:spacing w:line="360" w:lineRule="auto"/>
        <w:ind w:firstLine="420" w:firstLineChars="200"/>
        <w:rPr>
          <w:color w:val="auto"/>
          <w:highlight w:val="none"/>
        </w:rPr>
      </w:pPr>
      <w:r>
        <w:rPr>
          <w:color w:val="auto"/>
          <w:highlight w:val="none"/>
        </w:rPr>
        <w:t>7 每个试样的贯人阻力测试不应少于6次，直至单位面积贯入阻力大于28MPa为止。</w:t>
      </w:r>
    </w:p>
    <w:p w14:paraId="2C279765">
      <w:pPr>
        <w:kinsoku/>
        <w:overflowPunct/>
        <w:bidi w:val="0"/>
        <w:spacing w:line="360" w:lineRule="auto"/>
        <w:ind w:firstLine="420" w:firstLineChars="200"/>
        <w:rPr>
          <w:color w:val="auto"/>
          <w:highlight w:val="none"/>
        </w:rPr>
      </w:pPr>
      <w:r>
        <w:rPr>
          <w:rFonts w:hint="eastAsia"/>
          <w:color w:val="auto"/>
          <w:highlight w:val="none"/>
        </w:rPr>
        <w:t xml:space="preserve">8 </w:t>
      </w:r>
      <w:r>
        <w:rPr>
          <w:color w:val="auto"/>
          <w:highlight w:val="none"/>
        </w:rPr>
        <w:t>根据凝结状况，在测试过程中应以测针承压面积从大到小顺序更换测针，更换测针应按表</w:t>
      </w:r>
      <w:r>
        <w:rPr>
          <w:rFonts w:hint="eastAsia"/>
          <w:color w:val="auto"/>
          <w:highlight w:val="none"/>
        </w:rPr>
        <w:t>5</w:t>
      </w:r>
      <w:r>
        <w:rPr>
          <w:color w:val="auto"/>
          <w:highlight w:val="none"/>
        </w:rPr>
        <w:t>.</w:t>
      </w:r>
      <w:r>
        <w:rPr>
          <w:rFonts w:hint="eastAsia"/>
          <w:color w:val="auto"/>
          <w:highlight w:val="none"/>
        </w:rPr>
        <w:t>4</w:t>
      </w:r>
      <w:r>
        <w:rPr>
          <w:color w:val="auto"/>
          <w:highlight w:val="none"/>
        </w:rPr>
        <w:t>.3的规定选用</w:t>
      </w:r>
      <w:r>
        <w:rPr>
          <w:rFonts w:hint="eastAsia"/>
          <w:color w:val="auto"/>
          <w:highlight w:val="none"/>
        </w:rPr>
        <w:t>。</w:t>
      </w:r>
    </w:p>
    <w:p w14:paraId="05E7C0E8">
      <w:pPr>
        <w:kinsoku/>
        <w:overflowPunct/>
        <w:bidi w:val="0"/>
        <w:spacing w:line="360" w:lineRule="auto"/>
        <w:ind w:firstLine="420" w:firstLineChars="200"/>
        <w:jc w:val="center"/>
        <w:rPr>
          <w:color w:val="auto"/>
          <w:highlight w:val="none"/>
        </w:rPr>
      </w:pPr>
      <w:r>
        <w:rPr>
          <w:rFonts w:hint="eastAsia"/>
          <w:color w:val="auto"/>
          <w:highlight w:val="none"/>
        </w:rPr>
        <w:t>表5.4.3 测针选用规定表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1"/>
        <w:gridCol w:w="1596"/>
        <w:gridCol w:w="1499"/>
        <w:gridCol w:w="1401"/>
      </w:tblGrid>
      <w:tr w14:paraId="3513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9" w:type="pct"/>
          </w:tcPr>
          <w:p w14:paraId="26E03523">
            <w:pPr>
              <w:keepNext w:val="0"/>
              <w:keepLines w:val="0"/>
              <w:suppressLineNumbers w:val="0"/>
              <w:kinsoku/>
              <w:overflowPunct/>
              <w:bidi w:val="0"/>
              <w:spacing w:before="0" w:beforeAutospacing="0" w:after="0" w:afterAutospacing="0" w:line="360" w:lineRule="auto"/>
              <w:ind w:left="0" w:right="0"/>
              <w:jc w:val="center"/>
              <w:rPr>
                <w:rFonts w:hint="default"/>
                <w:color w:val="auto"/>
                <w:highlight w:val="none"/>
              </w:rPr>
            </w:pPr>
            <w:r>
              <w:rPr>
                <w:rFonts w:hint="eastAsia"/>
                <w:color w:val="auto"/>
                <w:highlight w:val="none"/>
              </w:rPr>
              <w:t>单位面积贯入阻力（MPa）</w:t>
            </w:r>
          </w:p>
        </w:tc>
        <w:tc>
          <w:tcPr>
            <w:tcW w:w="834" w:type="pct"/>
          </w:tcPr>
          <w:p w14:paraId="026343AE">
            <w:pPr>
              <w:keepNext w:val="0"/>
              <w:keepLines w:val="0"/>
              <w:suppressLineNumbers w:val="0"/>
              <w:kinsoku/>
              <w:overflowPunct/>
              <w:bidi w:val="0"/>
              <w:spacing w:before="0" w:beforeAutospacing="0" w:after="0" w:afterAutospacing="0" w:line="360" w:lineRule="auto"/>
              <w:ind w:left="0" w:right="0"/>
              <w:jc w:val="center"/>
              <w:rPr>
                <w:rFonts w:hint="default"/>
                <w:color w:val="auto"/>
                <w:highlight w:val="none"/>
              </w:rPr>
            </w:pPr>
            <w:r>
              <w:rPr>
                <w:rFonts w:hint="eastAsia"/>
                <w:color w:val="auto"/>
                <w:highlight w:val="none"/>
              </w:rPr>
              <w:t>0.2~3.5</w:t>
            </w:r>
          </w:p>
        </w:tc>
        <w:tc>
          <w:tcPr>
            <w:tcW w:w="783" w:type="pct"/>
          </w:tcPr>
          <w:p w14:paraId="35281406">
            <w:pPr>
              <w:keepNext w:val="0"/>
              <w:keepLines w:val="0"/>
              <w:suppressLineNumbers w:val="0"/>
              <w:kinsoku/>
              <w:overflowPunct/>
              <w:bidi w:val="0"/>
              <w:spacing w:before="0" w:beforeAutospacing="0" w:after="0" w:afterAutospacing="0" w:line="360" w:lineRule="auto"/>
              <w:ind w:left="0" w:right="0"/>
              <w:jc w:val="center"/>
              <w:rPr>
                <w:rFonts w:hint="default"/>
                <w:color w:val="auto"/>
                <w:highlight w:val="none"/>
              </w:rPr>
            </w:pPr>
            <w:r>
              <w:rPr>
                <w:rFonts w:hint="eastAsia"/>
                <w:color w:val="auto"/>
                <w:highlight w:val="none"/>
              </w:rPr>
              <w:t>3.5~20</w:t>
            </w:r>
          </w:p>
        </w:tc>
        <w:tc>
          <w:tcPr>
            <w:tcW w:w="732" w:type="pct"/>
          </w:tcPr>
          <w:p w14:paraId="5D94EB4B">
            <w:pPr>
              <w:keepNext w:val="0"/>
              <w:keepLines w:val="0"/>
              <w:suppressLineNumbers w:val="0"/>
              <w:kinsoku/>
              <w:overflowPunct/>
              <w:bidi w:val="0"/>
              <w:spacing w:before="0" w:beforeAutospacing="0" w:after="0" w:afterAutospacing="0" w:line="360" w:lineRule="auto"/>
              <w:ind w:left="0" w:right="0"/>
              <w:jc w:val="center"/>
              <w:rPr>
                <w:rFonts w:hint="default"/>
                <w:color w:val="auto"/>
                <w:highlight w:val="none"/>
              </w:rPr>
            </w:pPr>
            <w:r>
              <w:rPr>
                <w:rFonts w:hint="eastAsia"/>
                <w:color w:val="auto"/>
                <w:highlight w:val="none"/>
              </w:rPr>
              <w:t>20~28</w:t>
            </w:r>
          </w:p>
        </w:tc>
      </w:tr>
      <w:tr w14:paraId="1F20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9" w:type="pct"/>
          </w:tcPr>
          <w:p w14:paraId="49355E2D">
            <w:pPr>
              <w:keepNext w:val="0"/>
              <w:keepLines w:val="0"/>
              <w:suppressLineNumbers w:val="0"/>
              <w:kinsoku/>
              <w:overflowPunct/>
              <w:bidi w:val="0"/>
              <w:spacing w:before="0" w:beforeAutospacing="0" w:after="0" w:afterAutospacing="0" w:line="360" w:lineRule="auto"/>
              <w:ind w:left="0" w:right="0"/>
              <w:jc w:val="center"/>
              <w:rPr>
                <w:rFonts w:hint="default"/>
                <w:color w:val="auto"/>
                <w:highlight w:val="none"/>
              </w:rPr>
            </w:pPr>
            <w:r>
              <w:rPr>
                <w:rFonts w:hint="eastAsia"/>
                <w:color w:val="auto"/>
                <w:highlight w:val="none"/>
              </w:rPr>
              <w:t>测针面积（mm</w:t>
            </w:r>
            <w:r>
              <w:rPr>
                <w:rFonts w:hint="eastAsia"/>
                <w:color w:val="auto"/>
                <w:highlight w:val="none"/>
                <w:vertAlign w:val="superscript"/>
              </w:rPr>
              <w:t>2</w:t>
            </w:r>
            <w:r>
              <w:rPr>
                <w:rFonts w:hint="eastAsia"/>
                <w:color w:val="auto"/>
                <w:highlight w:val="none"/>
              </w:rPr>
              <w:t>）</w:t>
            </w:r>
          </w:p>
        </w:tc>
        <w:tc>
          <w:tcPr>
            <w:tcW w:w="834" w:type="pct"/>
          </w:tcPr>
          <w:p w14:paraId="1F6AD139">
            <w:pPr>
              <w:keepNext w:val="0"/>
              <w:keepLines w:val="0"/>
              <w:suppressLineNumbers w:val="0"/>
              <w:kinsoku/>
              <w:overflowPunct/>
              <w:bidi w:val="0"/>
              <w:spacing w:before="0" w:beforeAutospacing="0" w:after="0" w:afterAutospacing="0" w:line="360" w:lineRule="auto"/>
              <w:ind w:left="0" w:right="0"/>
              <w:jc w:val="center"/>
              <w:rPr>
                <w:rFonts w:hint="default"/>
                <w:color w:val="auto"/>
                <w:highlight w:val="none"/>
              </w:rPr>
            </w:pPr>
            <w:r>
              <w:rPr>
                <w:rFonts w:hint="eastAsia"/>
                <w:color w:val="auto"/>
                <w:highlight w:val="none"/>
              </w:rPr>
              <w:t>100</w:t>
            </w:r>
          </w:p>
        </w:tc>
        <w:tc>
          <w:tcPr>
            <w:tcW w:w="783" w:type="pct"/>
          </w:tcPr>
          <w:p w14:paraId="5FE92842">
            <w:pPr>
              <w:keepNext w:val="0"/>
              <w:keepLines w:val="0"/>
              <w:suppressLineNumbers w:val="0"/>
              <w:kinsoku/>
              <w:overflowPunct/>
              <w:bidi w:val="0"/>
              <w:spacing w:before="0" w:beforeAutospacing="0" w:after="0" w:afterAutospacing="0" w:line="360" w:lineRule="auto"/>
              <w:ind w:left="0" w:right="0"/>
              <w:jc w:val="center"/>
              <w:rPr>
                <w:rFonts w:hint="default"/>
                <w:color w:val="auto"/>
                <w:highlight w:val="none"/>
              </w:rPr>
            </w:pPr>
            <w:r>
              <w:rPr>
                <w:rFonts w:hint="eastAsia"/>
                <w:color w:val="auto"/>
                <w:highlight w:val="none"/>
              </w:rPr>
              <w:t>50</w:t>
            </w:r>
          </w:p>
        </w:tc>
        <w:tc>
          <w:tcPr>
            <w:tcW w:w="732" w:type="pct"/>
          </w:tcPr>
          <w:p w14:paraId="0EBA60CB">
            <w:pPr>
              <w:keepNext w:val="0"/>
              <w:keepLines w:val="0"/>
              <w:suppressLineNumbers w:val="0"/>
              <w:kinsoku/>
              <w:overflowPunct/>
              <w:bidi w:val="0"/>
              <w:spacing w:before="0" w:beforeAutospacing="0" w:after="0" w:afterAutospacing="0" w:line="360" w:lineRule="auto"/>
              <w:ind w:left="0" w:right="0"/>
              <w:jc w:val="center"/>
              <w:rPr>
                <w:rFonts w:hint="default"/>
                <w:color w:val="auto"/>
                <w:highlight w:val="none"/>
              </w:rPr>
            </w:pPr>
            <w:r>
              <w:rPr>
                <w:rFonts w:hint="eastAsia"/>
                <w:color w:val="auto"/>
                <w:highlight w:val="none"/>
              </w:rPr>
              <w:t>20</w:t>
            </w:r>
          </w:p>
        </w:tc>
      </w:tr>
    </w:tbl>
    <w:p w14:paraId="2A94939D">
      <w:pPr>
        <w:kinsoku/>
        <w:overflowPunct/>
        <w:bidi w:val="0"/>
        <w:spacing w:line="360" w:lineRule="auto"/>
        <w:outlineLvl w:val="9"/>
        <w:rPr>
          <w:color w:val="auto"/>
          <w:highlight w:val="none"/>
        </w:rPr>
      </w:pPr>
      <w:bookmarkStart w:id="21" w:name="_Hlk200983311"/>
      <w:r>
        <w:rPr>
          <w:rFonts w:hint="eastAsia"/>
          <w:b/>
          <w:bCs/>
          <w:color w:val="auto"/>
          <w:highlight w:val="none"/>
        </w:rPr>
        <w:t>5</w:t>
      </w:r>
      <w:r>
        <w:rPr>
          <w:b/>
          <w:bCs/>
          <w:color w:val="auto"/>
          <w:highlight w:val="none"/>
        </w:rPr>
        <w:t>.</w:t>
      </w:r>
      <w:r>
        <w:rPr>
          <w:rFonts w:hint="eastAsia"/>
          <w:b/>
          <w:bCs/>
          <w:color w:val="auto"/>
          <w:highlight w:val="none"/>
        </w:rPr>
        <w:t>4</w:t>
      </w:r>
      <w:r>
        <w:rPr>
          <w:b/>
          <w:bCs/>
          <w:color w:val="auto"/>
          <w:highlight w:val="none"/>
        </w:rPr>
        <w:t>.4</w:t>
      </w:r>
      <w:r>
        <w:rPr>
          <w:rFonts w:hint="eastAsia"/>
          <w:color w:val="auto"/>
          <w:highlight w:val="none"/>
        </w:rPr>
        <w:t xml:space="preserve"> </w:t>
      </w:r>
      <w:bookmarkEnd w:id="21"/>
      <w:r>
        <w:rPr>
          <w:rFonts w:hint="eastAsia"/>
          <w:color w:val="auto"/>
          <w:highlight w:val="none"/>
        </w:rPr>
        <w:t xml:space="preserve"> </w:t>
      </w:r>
      <w:r>
        <w:rPr>
          <w:color w:val="auto"/>
          <w:highlight w:val="none"/>
        </w:rPr>
        <w:t>单位面积贯人阻力的结果计算以及初凝时间和终凝时间的确定应按下列方法进行</w:t>
      </w:r>
      <w:r>
        <w:rPr>
          <w:rFonts w:hint="eastAsia"/>
          <w:color w:val="auto"/>
          <w:highlight w:val="none"/>
        </w:rPr>
        <w:t>：</w:t>
      </w:r>
    </w:p>
    <w:p w14:paraId="20EFA9AE">
      <w:pPr>
        <w:kinsoku/>
        <w:overflowPunct/>
        <w:bidi w:val="0"/>
        <w:spacing w:line="360" w:lineRule="auto"/>
        <w:ind w:firstLine="420" w:firstLineChars="200"/>
        <w:rPr>
          <w:color w:val="auto"/>
          <w:highlight w:val="none"/>
        </w:rPr>
      </w:pPr>
      <w:r>
        <w:rPr>
          <w:color w:val="auto"/>
          <w:highlight w:val="none"/>
        </w:rPr>
        <w:t>1 单位面积贯入阻力应按下式计算</w:t>
      </w:r>
      <w:r>
        <w:rPr>
          <w:rFonts w:hint="eastAsia"/>
          <w:color w:val="auto"/>
          <w:highlight w:val="none"/>
        </w:rPr>
        <w:t>：</w:t>
      </w:r>
    </w:p>
    <w:p w14:paraId="254D422B">
      <w:pPr>
        <w:tabs>
          <w:tab w:val="center" w:pos="4620"/>
          <w:tab w:val="right" w:pos="9240"/>
        </w:tabs>
        <w:kinsoku/>
        <w:overflowPunct/>
        <w:bidi w:val="0"/>
        <w:adjustRightInd w:val="0"/>
        <w:snapToGrid w:val="0"/>
        <w:spacing w:line="360" w:lineRule="auto"/>
        <w:jc w:val="right"/>
        <w:rPr>
          <w:color w:val="auto"/>
          <w:highlight w:val="none"/>
        </w:rPr>
      </w:pPr>
      <w:r>
        <w:rPr>
          <w:color w:val="auto"/>
          <w:highlight w:val="none"/>
        </w:rPr>
        <w:tab/>
      </w:r>
      <w:r>
        <w:rPr>
          <w:color w:val="auto"/>
          <w:position w:val="-24"/>
          <w:highlight w:val="none"/>
        </w:rPr>
        <w:object>
          <v:shape id="_x0000_i1025" o:spt="75" type="#_x0000_t75" style="height:31.15pt;width:42.05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r>
        <w:rPr>
          <w:color w:val="auto"/>
          <w:highlight w:val="none"/>
        </w:rPr>
        <w:tab/>
      </w:r>
      <w:r>
        <w:rPr>
          <w:rFonts w:hint="eastAsia"/>
          <w:color w:val="auto"/>
          <w:highlight w:val="none"/>
        </w:rPr>
        <w:t>（5.4.4-1）</w:t>
      </w:r>
    </w:p>
    <w:p w14:paraId="1FF029D0">
      <w:pPr>
        <w:tabs>
          <w:tab w:val="left" w:pos="945"/>
        </w:tabs>
        <w:kinsoku/>
        <w:overflowPunct/>
        <w:bidi w:val="0"/>
        <w:spacing w:line="360" w:lineRule="auto"/>
        <w:rPr>
          <w:color w:val="auto"/>
          <w:highlight w:val="none"/>
        </w:rPr>
      </w:pPr>
      <w:r>
        <w:rPr>
          <w:color w:val="auto"/>
          <w:highlight w:val="none"/>
        </w:rPr>
        <w:t>式中</w:t>
      </w:r>
      <w:r>
        <w:rPr>
          <w:rFonts w:hint="eastAsia"/>
          <w:color w:val="auto"/>
          <w:highlight w:val="none"/>
        </w:rPr>
        <w:t>：</w:t>
      </w:r>
      <w:r>
        <w:rPr>
          <w:i/>
          <w:iCs/>
          <w:color w:val="auto"/>
          <w:highlight w:val="none"/>
        </w:rPr>
        <w:t>f</w:t>
      </w:r>
      <w:r>
        <w:rPr>
          <w:rFonts w:hint="eastAsia"/>
          <w:i/>
          <w:iCs/>
          <w:color w:val="auto"/>
          <w:highlight w:val="none"/>
          <w:vertAlign w:val="subscript"/>
        </w:rPr>
        <w:t>PR</w:t>
      </w:r>
      <w:r>
        <w:rPr>
          <w:color w:val="auto"/>
          <w:highlight w:val="none"/>
        </w:rPr>
        <w:tab/>
      </w:r>
      <w:r>
        <w:rPr>
          <w:color w:val="auto"/>
          <w:highlight w:val="none"/>
        </w:rPr>
        <w:t>——单位面积贯人阻力</w:t>
      </w:r>
      <w:r>
        <w:rPr>
          <w:rFonts w:hint="eastAsia"/>
          <w:color w:val="auto"/>
          <w:highlight w:val="none"/>
        </w:rPr>
        <w:t>（</w:t>
      </w:r>
      <w:r>
        <w:rPr>
          <w:color w:val="auto"/>
          <w:highlight w:val="none"/>
        </w:rPr>
        <w:t>MPa</w:t>
      </w:r>
      <w:r>
        <w:rPr>
          <w:rFonts w:hint="eastAsia"/>
          <w:color w:val="auto"/>
          <w:highlight w:val="none"/>
        </w:rPr>
        <w:t>）</w:t>
      </w:r>
      <w:r>
        <w:rPr>
          <w:color w:val="auto"/>
          <w:highlight w:val="none"/>
        </w:rPr>
        <w:t>，精确至0.1MPa</w:t>
      </w:r>
      <w:r>
        <w:rPr>
          <w:rFonts w:hint="eastAsia"/>
          <w:color w:val="auto"/>
          <w:highlight w:val="none"/>
        </w:rPr>
        <w:t>；</w:t>
      </w:r>
    </w:p>
    <w:p w14:paraId="5B80E142">
      <w:pPr>
        <w:tabs>
          <w:tab w:val="left" w:pos="945"/>
        </w:tabs>
        <w:kinsoku/>
        <w:overflowPunct/>
        <w:bidi w:val="0"/>
        <w:spacing w:line="360" w:lineRule="auto"/>
        <w:ind w:firstLine="630" w:firstLineChars="300"/>
        <w:rPr>
          <w:color w:val="auto"/>
          <w:highlight w:val="none"/>
        </w:rPr>
      </w:pPr>
      <w:r>
        <w:rPr>
          <w:i/>
          <w:iCs/>
          <w:color w:val="auto"/>
          <w:highlight w:val="none"/>
        </w:rPr>
        <w:t>P</w:t>
      </w:r>
      <w:r>
        <w:rPr>
          <w:i/>
          <w:iCs/>
          <w:color w:val="auto"/>
          <w:highlight w:val="none"/>
        </w:rPr>
        <w:tab/>
      </w:r>
      <w:r>
        <w:rPr>
          <w:color w:val="auto"/>
          <w:highlight w:val="none"/>
        </w:rPr>
        <w:t>——贯入阻力</w:t>
      </w:r>
      <w:r>
        <w:rPr>
          <w:rFonts w:hint="eastAsia"/>
          <w:color w:val="auto"/>
          <w:highlight w:val="none"/>
        </w:rPr>
        <w:t>（</w:t>
      </w:r>
      <w:r>
        <w:rPr>
          <w:color w:val="auto"/>
          <w:highlight w:val="none"/>
        </w:rPr>
        <w:t>N</w:t>
      </w:r>
      <w:r>
        <w:rPr>
          <w:rFonts w:hint="eastAsia"/>
          <w:color w:val="auto"/>
          <w:highlight w:val="none"/>
        </w:rPr>
        <w:t>）；</w:t>
      </w:r>
    </w:p>
    <w:p w14:paraId="7A4E92DD">
      <w:pPr>
        <w:tabs>
          <w:tab w:val="left" w:pos="945"/>
        </w:tabs>
        <w:kinsoku/>
        <w:overflowPunct/>
        <w:bidi w:val="0"/>
        <w:spacing w:line="360" w:lineRule="auto"/>
        <w:ind w:firstLine="630" w:firstLineChars="300"/>
        <w:rPr>
          <w:color w:val="auto"/>
          <w:highlight w:val="none"/>
        </w:rPr>
      </w:pPr>
      <w:r>
        <w:rPr>
          <w:i/>
          <w:iCs/>
          <w:color w:val="auto"/>
          <w:highlight w:val="none"/>
        </w:rPr>
        <w:t>A</w:t>
      </w:r>
      <w:r>
        <w:rPr>
          <w:i/>
          <w:iCs/>
          <w:color w:val="auto"/>
          <w:highlight w:val="none"/>
        </w:rPr>
        <w:tab/>
      </w:r>
      <w:r>
        <w:rPr>
          <w:color w:val="auto"/>
          <w:highlight w:val="none"/>
        </w:rPr>
        <w:t>——测针面积</w:t>
      </w:r>
      <w:r>
        <w:rPr>
          <w:rFonts w:hint="eastAsia"/>
          <w:color w:val="auto"/>
          <w:highlight w:val="none"/>
        </w:rPr>
        <w:t>（</w:t>
      </w:r>
      <w:r>
        <w:rPr>
          <w:color w:val="auto"/>
          <w:highlight w:val="none"/>
        </w:rPr>
        <w:t>mm</w:t>
      </w:r>
      <w:r>
        <w:rPr>
          <w:rFonts w:hint="eastAsia"/>
          <w:color w:val="auto"/>
          <w:highlight w:val="none"/>
          <w:vertAlign w:val="superscript"/>
        </w:rPr>
        <w:t>2</w:t>
      </w:r>
      <w:r>
        <w:rPr>
          <w:rFonts w:hint="eastAsia"/>
          <w:color w:val="auto"/>
          <w:highlight w:val="none"/>
        </w:rPr>
        <w:t>）</w:t>
      </w:r>
      <w:r>
        <w:rPr>
          <w:color w:val="auto"/>
          <w:highlight w:val="none"/>
        </w:rPr>
        <w:t>。</w:t>
      </w:r>
    </w:p>
    <w:p w14:paraId="33652C16">
      <w:pPr>
        <w:kinsoku/>
        <w:overflowPunct/>
        <w:bidi w:val="0"/>
        <w:spacing w:line="360" w:lineRule="auto"/>
        <w:ind w:firstLine="420" w:firstLineChars="200"/>
        <w:rPr>
          <w:color w:val="auto"/>
          <w:highlight w:val="none"/>
        </w:rPr>
      </w:pPr>
      <w:r>
        <w:rPr>
          <w:rFonts w:hint="eastAsia"/>
          <w:color w:val="auto"/>
          <w:highlight w:val="none"/>
        </w:rPr>
        <w:t xml:space="preserve">2 </w:t>
      </w:r>
      <w:r>
        <w:rPr>
          <w:color w:val="auto"/>
          <w:highlight w:val="none"/>
        </w:rPr>
        <w:t>凝结时间宜按式</w:t>
      </w:r>
      <w:r>
        <w:rPr>
          <w:rFonts w:hint="eastAsia"/>
          <w:color w:val="auto"/>
          <w:highlight w:val="none"/>
        </w:rPr>
        <w:t>（5</w:t>
      </w:r>
      <w:r>
        <w:rPr>
          <w:color w:val="auto"/>
          <w:highlight w:val="none"/>
        </w:rPr>
        <w:t>.</w:t>
      </w:r>
      <w:r>
        <w:rPr>
          <w:rFonts w:hint="eastAsia"/>
          <w:color w:val="auto"/>
          <w:highlight w:val="none"/>
        </w:rPr>
        <w:t>4</w:t>
      </w:r>
      <w:r>
        <w:rPr>
          <w:color w:val="auto"/>
          <w:highlight w:val="none"/>
        </w:rPr>
        <w:t>.</w:t>
      </w:r>
      <w:r>
        <w:rPr>
          <w:rFonts w:hint="eastAsia"/>
          <w:color w:val="auto"/>
          <w:highlight w:val="none"/>
        </w:rPr>
        <w:t>4-2</w:t>
      </w:r>
      <w:r>
        <w:rPr>
          <w:rFonts w:hint="eastAsia" w:ascii="宋体" w:hAnsi="宋体"/>
          <w:color w:val="auto"/>
          <w:highlight w:val="none"/>
        </w:rPr>
        <w:t>)</w:t>
      </w:r>
      <w:r>
        <w:rPr>
          <w:color w:val="auto"/>
          <w:highlight w:val="none"/>
        </w:rPr>
        <w:t>通过线性回归方法确定</w:t>
      </w:r>
      <w:r>
        <w:rPr>
          <w:rFonts w:hint="eastAsia"/>
          <w:color w:val="auto"/>
          <w:highlight w:val="none"/>
        </w:rPr>
        <w:t>；</w:t>
      </w:r>
      <w:r>
        <w:rPr>
          <w:color w:val="auto"/>
          <w:highlight w:val="none"/>
        </w:rPr>
        <w:t>根据式</w:t>
      </w:r>
      <w:r>
        <w:rPr>
          <w:rFonts w:hint="eastAsia"/>
          <w:color w:val="auto"/>
          <w:highlight w:val="none"/>
        </w:rPr>
        <w:t>（5</w:t>
      </w:r>
      <w:r>
        <w:rPr>
          <w:color w:val="auto"/>
          <w:highlight w:val="none"/>
        </w:rPr>
        <w:t>.</w:t>
      </w:r>
      <w:r>
        <w:rPr>
          <w:rFonts w:hint="eastAsia"/>
          <w:color w:val="auto"/>
          <w:highlight w:val="none"/>
        </w:rPr>
        <w:t>4</w:t>
      </w:r>
      <w:r>
        <w:rPr>
          <w:color w:val="auto"/>
          <w:highlight w:val="none"/>
        </w:rPr>
        <w:t>.</w:t>
      </w:r>
      <w:r>
        <w:rPr>
          <w:rFonts w:hint="eastAsia"/>
          <w:color w:val="auto"/>
          <w:highlight w:val="none"/>
        </w:rPr>
        <w:t>4-2）</w:t>
      </w:r>
      <w:r>
        <w:rPr>
          <w:color w:val="auto"/>
          <w:highlight w:val="none"/>
        </w:rPr>
        <w:t>可求得当单位面积贯入阻力为3.5MPa时对应的时间应为初凝时间，单位面积贯入阻力为28MPa时对应的时间应为终凝时间。</w:t>
      </w:r>
    </w:p>
    <w:p w14:paraId="4B590EF3">
      <w:pPr>
        <w:tabs>
          <w:tab w:val="center" w:pos="4680"/>
          <w:tab w:val="right" w:pos="9360"/>
        </w:tabs>
        <w:kinsoku/>
        <w:overflowPunct/>
        <w:bidi w:val="0"/>
        <w:adjustRightInd w:val="0"/>
        <w:snapToGrid w:val="0"/>
        <w:spacing w:line="360" w:lineRule="auto"/>
        <w:jc w:val="right"/>
        <w:rPr>
          <w:color w:val="auto"/>
          <w:highlight w:val="none"/>
        </w:rPr>
      </w:pPr>
      <w:bookmarkStart w:id="22" w:name="_Hlk200984692"/>
      <w:r>
        <w:rPr>
          <w:color w:val="auto"/>
          <w:highlight w:val="none"/>
        </w:rPr>
        <w:tab/>
      </w:r>
      <w:bookmarkEnd w:id="22"/>
      <w:r>
        <w:rPr>
          <w:color w:val="auto"/>
          <w:position w:val="-12"/>
          <w:highlight w:val="none"/>
        </w:rPr>
        <w:object>
          <v:shape id="_x0000_i1026" o:spt="75" type="#_x0000_t75" style="height:18.3pt;width:80.95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r>
        <w:rPr>
          <w:color w:val="auto"/>
          <w:highlight w:val="none"/>
        </w:rPr>
        <w:tab/>
      </w:r>
      <w:r>
        <w:rPr>
          <w:rFonts w:hint="eastAsia"/>
          <w:color w:val="auto"/>
          <w:highlight w:val="none"/>
        </w:rPr>
        <w:t>（5.4.4-2）</w:t>
      </w:r>
    </w:p>
    <w:p w14:paraId="329F5AA4">
      <w:pPr>
        <w:kinsoku/>
        <w:overflowPunct/>
        <w:bidi w:val="0"/>
        <w:spacing w:line="360" w:lineRule="auto"/>
        <w:rPr>
          <w:color w:val="auto"/>
          <w:highlight w:val="none"/>
        </w:rPr>
      </w:pPr>
      <w:r>
        <w:rPr>
          <w:color w:val="auto"/>
          <w:highlight w:val="none"/>
        </w:rPr>
        <w:t>式中</w:t>
      </w:r>
      <w:r>
        <w:rPr>
          <w:rFonts w:hint="eastAsia"/>
          <w:color w:val="auto"/>
          <w:highlight w:val="none"/>
        </w:rPr>
        <w:t>：</w:t>
      </w:r>
      <w:r>
        <w:rPr>
          <w:rFonts w:hint="eastAsia"/>
          <w:i/>
          <w:iCs/>
          <w:color w:val="auto"/>
          <w:highlight w:val="none"/>
        </w:rPr>
        <w:t>t</w:t>
      </w:r>
      <w:r>
        <w:rPr>
          <w:color w:val="auto"/>
          <w:highlight w:val="none"/>
        </w:rPr>
        <w:t>——单位面积贯人阻力对应的测试时间(min)</w:t>
      </w:r>
      <w:r>
        <w:rPr>
          <w:rFonts w:hint="eastAsia"/>
          <w:color w:val="auto"/>
          <w:highlight w:val="none"/>
        </w:rPr>
        <w:t>；</w:t>
      </w:r>
    </w:p>
    <w:p w14:paraId="266521AB">
      <w:pPr>
        <w:kinsoku/>
        <w:overflowPunct/>
        <w:bidi w:val="0"/>
        <w:spacing w:line="360" w:lineRule="auto"/>
        <w:ind w:firstLine="210" w:firstLineChars="100"/>
        <w:rPr>
          <w:color w:val="auto"/>
          <w:highlight w:val="none"/>
        </w:rPr>
      </w:pPr>
      <w:r>
        <w:rPr>
          <w:rFonts w:hint="eastAsia"/>
          <w:i/>
          <w:iCs/>
          <w:color w:val="auto"/>
          <w:highlight w:val="none"/>
        </w:rPr>
        <w:t xml:space="preserve">a、b </w:t>
      </w:r>
      <w:r>
        <w:rPr>
          <w:color w:val="auto"/>
          <w:highlight w:val="none"/>
        </w:rPr>
        <w:t>——</w:t>
      </w:r>
      <w:r>
        <w:rPr>
          <w:rFonts w:hint="eastAsia"/>
          <w:color w:val="auto"/>
          <w:highlight w:val="none"/>
        </w:rPr>
        <w:t>线性回归系数。</w:t>
      </w:r>
    </w:p>
    <w:p w14:paraId="10C959AB">
      <w:pPr>
        <w:kinsoku/>
        <w:overflowPunct/>
        <w:bidi w:val="0"/>
        <w:spacing w:line="360" w:lineRule="auto"/>
        <w:ind w:firstLine="420" w:firstLineChars="200"/>
        <w:rPr>
          <w:color w:val="auto"/>
          <w:highlight w:val="none"/>
        </w:rPr>
      </w:pPr>
      <w:r>
        <w:rPr>
          <w:rFonts w:hint="eastAsia"/>
          <w:color w:val="auto"/>
          <w:highlight w:val="none"/>
        </w:rPr>
        <w:t>3 凝结时间也可用绘图拟合方法确定，应以单位面积贯人阻力为纵坐标，测试时间为横坐标，绘制出单位面积贯入阻力与测试时间之间的关系曲线；分别以3.5MPa和28MPa绘制两条平行于横坐标的直线，与曲线交点的横坐标应分别为初凝时间和终凝时间;凝结时间结果应用h：min表示，精确至5min。</w:t>
      </w:r>
    </w:p>
    <w:p w14:paraId="17819F9C">
      <w:pPr>
        <w:kinsoku/>
        <w:overflowPunct/>
        <w:bidi w:val="0"/>
        <w:spacing w:line="360" w:lineRule="auto"/>
        <w:outlineLvl w:val="9"/>
        <w:rPr>
          <w:color w:val="auto"/>
          <w:highlight w:val="none"/>
        </w:rPr>
      </w:pPr>
      <w:r>
        <w:rPr>
          <w:rFonts w:hint="eastAsia"/>
          <w:b/>
          <w:bCs/>
          <w:color w:val="auto"/>
          <w:highlight w:val="none"/>
        </w:rPr>
        <w:t xml:space="preserve">5.4.5 </w:t>
      </w:r>
      <w:r>
        <w:rPr>
          <w:rFonts w:hint="eastAsia"/>
          <w:color w:val="auto"/>
          <w:highlight w:val="none"/>
        </w:rPr>
        <w:t>应以三个试样的初凝时间和终凝时间的算术平均值作为此次试验初凝时间和终凝时间的试验结果。三个测值的最大值或最小值中有一个与中间值之差超过中间值的10%时，应以中间值作为试验结果；最大值和最小值与中间值之差均超过中间值的10%时，应重新试验。</w:t>
      </w:r>
    </w:p>
    <w:p w14:paraId="62D4D6C5">
      <w:pPr>
        <w:widowControl/>
        <w:kinsoku/>
        <w:overflowPunct/>
        <w:bidi w:val="0"/>
        <w:spacing w:before="156" w:beforeLines="50" w:after="156" w:afterLines="50" w:line="360" w:lineRule="auto"/>
        <w:jc w:val="both"/>
        <w:outlineLvl w:val="1"/>
        <w:rPr>
          <w:rFonts w:hint="eastAsia" w:ascii="黑体" w:hAnsi="黑体" w:eastAsia="黑体" w:cs="黑体"/>
          <w:b w:val="0"/>
          <w:bCs/>
          <w:color w:val="auto"/>
          <w:kern w:val="0"/>
          <w:szCs w:val="20"/>
          <w:highlight w:val="none"/>
        </w:rPr>
      </w:pPr>
      <w:bookmarkStart w:id="23" w:name="_Toc18618"/>
      <w:r>
        <w:rPr>
          <w:rFonts w:hint="eastAsia" w:ascii="黑体" w:hAnsi="黑体" w:eastAsia="黑体" w:cs="黑体"/>
          <w:b w:val="0"/>
          <w:bCs/>
          <w:color w:val="auto"/>
          <w:kern w:val="0"/>
          <w:szCs w:val="20"/>
          <w:highlight w:val="none"/>
        </w:rPr>
        <w:t>5.5 表观密度</w:t>
      </w:r>
      <w:bookmarkEnd w:id="23"/>
    </w:p>
    <w:p w14:paraId="2DC27642">
      <w:pPr>
        <w:kinsoku/>
        <w:overflowPunct/>
        <w:bidi w:val="0"/>
        <w:spacing w:line="360" w:lineRule="auto"/>
        <w:outlineLvl w:val="9"/>
        <w:rPr>
          <w:color w:val="auto"/>
          <w:highlight w:val="none"/>
        </w:rPr>
      </w:pPr>
      <w:r>
        <w:rPr>
          <w:rFonts w:hint="eastAsia"/>
          <w:b/>
          <w:bCs/>
          <w:color w:val="auto"/>
          <w:highlight w:val="none"/>
        </w:rPr>
        <w:t>5.5.1</w:t>
      </w:r>
      <w:r>
        <w:rPr>
          <w:rFonts w:hint="eastAsia"/>
          <w:color w:val="auto"/>
          <w:highlight w:val="none"/>
        </w:rPr>
        <w:t xml:space="preserve"> 本方法适用于超高性能混凝土拌合物单位体积质量的测定。</w:t>
      </w:r>
    </w:p>
    <w:p w14:paraId="183F8E55">
      <w:pPr>
        <w:kinsoku/>
        <w:overflowPunct/>
        <w:bidi w:val="0"/>
        <w:spacing w:line="360" w:lineRule="auto"/>
        <w:outlineLvl w:val="9"/>
        <w:rPr>
          <w:color w:val="auto"/>
          <w:highlight w:val="none"/>
        </w:rPr>
      </w:pPr>
      <w:r>
        <w:rPr>
          <w:rFonts w:hint="eastAsia"/>
          <w:b/>
          <w:bCs/>
          <w:color w:val="auto"/>
          <w:highlight w:val="none"/>
        </w:rPr>
        <w:t>5.5.2</w:t>
      </w:r>
      <w:r>
        <w:rPr>
          <w:rFonts w:hint="eastAsia"/>
          <w:color w:val="auto"/>
          <w:highlight w:val="none"/>
        </w:rPr>
        <w:t xml:space="preserve"> 表观密度试验的试验设备应符合下列规定：</w:t>
      </w:r>
    </w:p>
    <w:p w14:paraId="594409E0">
      <w:pPr>
        <w:kinsoku/>
        <w:overflowPunct/>
        <w:bidi w:val="0"/>
        <w:spacing w:line="360" w:lineRule="auto"/>
        <w:ind w:firstLine="420" w:firstLineChars="200"/>
        <w:rPr>
          <w:color w:val="auto"/>
          <w:highlight w:val="none"/>
        </w:rPr>
      </w:pPr>
      <w:r>
        <w:rPr>
          <w:rFonts w:hint="eastAsia"/>
          <w:b w:val="0"/>
          <w:bCs w:val="0"/>
          <w:color w:val="auto"/>
          <w:highlight w:val="none"/>
        </w:rPr>
        <w:t>1</w:t>
      </w:r>
      <w:r>
        <w:rPr>
          <w:rFonts w:hint="eastAsia"/>
          <w:b/>
          <w:bCs/>
          <w:color w:val="auto"/>
          <w:highlight w:val="none"/>
        </w:rPr>
        <w:t xml:space="preserve"> </w:t>
      </w:r>
      <w:r>
        <w:rPr>
          <w:rFonts w:hint="eastAsia"/>
          <w:color w:val="auto"/>
          <w:highlight w:val="none"/>
        </w:rPr>
        <w:t>容量筒应为金属制成的圆筒，简外壁应有提手。容量筒体积不应小于5L，简壁厚不应小于3mm。容量筒上沿及内壁应光滑平整，顶面与底面应平行并应与圆柱体的轴垂直。</w:t>
      </w:r>
    </w:p>
    <w:p w14:paraId="223BBCA7">
      <w:pPr>
        <w:kinsoku/>
        <w:overflowPunct/>
        <w:bidi w:val="0"/>
        <w:spacing w:line="360" w:lineRule="auto"/>
        <w:ind w:firstLine="420" w:firstLineChars="200"/>
        <w:rPr>
          <w:color w:val="auto"/>
          <w:highlight w:val="none"/>
        </w:rPr>
      </w:pPr>
      <w:r>
        <w:rPr>
          <w:rFonts w:hint="eastAsia"/>
          <w:color w:val="auto"/>
          <w:highlight w:val="none"/>
        </w:rPr>
        <w:t>2 电子天平的最大量程应为 50kg，感量不应大于10g。</w:t>
      </w:r>
    </w:p>
    <w:p w14:paraId="68C12A2F">
      <w:pPr>
        <w:kinsoku/>
        <w:overflowPunct/>
        <w:bidi w:val="0"/>
        <w:spacing w:line="360" w:lineRule="auto"/>
        <w:outlineLvl w:val="9"/>
        <w:rPr>
          <w:color w:val="auto"/>
          <w:highlight w:val="none"/>
        </w:rPr>
      </w:pPr>
      <w:r>
        <w:rPr>
          <w:rFonts w:hint="eastAsia"/>
          <w:b/>
          <w:bCs/>
          <w:color w:val="auto"/>
          <w:highlight w:val="none"/>
        </w:rPr>
        <w:t>5.5.3</w:t>
      </w:r>
      <w:r>
        <w:rPr>
          <w:rFonts w:hint="eastAsia"/>
          <w:color w:val="auto"/>
          <w:highlight w:val="none"/>
        </w:rPr>
        <w:t xml:space="preserve"> 表观密度试验应按下列步骤进行：</w:t>
      </w:r>
    </w:p>
    <w:p w14:paraId="557C2CE8">
      <w:pPr>
        <w:kinsoku/>
        <w:overflowPunct/>
        <w:bidi w:val="0"/>
        <w:spacing w:line="360" w:lineRule="auto"/>
        <w:ind w:firstLine="420" w:firstLineChars="200"/>
        <w:rPr>
          <w:color w:val="auto"/>
          <w:highlight w:val="none"/>
        </w:rPr>
      </w:pPr>
      <w:r>
        <w:rPr>
          <w:rFonts w:hint="eastAsia"/>
          <w:b w:val="0"/>
          <w:bCs w:val="0"/>
          <w:color w:val="auto"/>
          <w:highlight w:val="none"/>
        </w:rPr>
        <w:t>1</w:t>
      </w:r>
      <w:r>
        <w:rPr>
          <w:rFonts w:hint="eastAsia"/>
          <w:color w:val="auto"/>
          <w:highlight w:val="none"/>
        </w:rPr>
        <w:t xml:space="preserve"> 应按下列步骤定容量筒的体积：</w:t>
      </w:r>
    </w:p>
    <w:p w14:paraId="17D3A656">
      <w:pPr>
        <w:kinsoku/>
        <w:overflowPunct/>
        <w:bidi w:val="0"/>
        <w:spacing w:line="360" w:lineRule="auto"/>
        <w:ind w:firstLine="420" w:firstLineChars="200"/>
        <w:rPr>
          <w:color w:val="auto"/>
          <w:highlight w:val="none"/>
        </w:rPr>
      </w:pPr>
      <w:r>
        <w:rPr>
          <w:rFonts w:hint="eastAsia"/>
          <w:color w:val="auto"/>
          <w:highlight w:val="none"/>
        </w:rPr>
        <w:t>1）将干净容量筒与玻璃板一起称重；</w:t>
      </w:r>
    </w:p>
    <w:p w14:paraId="2DA0F3DB">
      <w:pPr>
        <w:kinsoku/>
        <w:overflowPunct/>
        <w:bidi w:val="0"/>
        <w:spacing w:line="360" w:lineRule="auto"/>
        <w:ind w:firstLine="420" w:firstLineChars="200"/>
        <w:rPr>
          <w:color w:val="auto"/>
          <w:highlight w:val="none"/>
        </w:rPr>
      </w:pPr>
      <w:r>
        <w:rPr>
          <w:rFonts w:hint="eastAsia"/>
          <w:color w:val="auto"/>
          <w:highlight w:val="none"/>
        </w:rPr>
        <w:t>2）将容量筒装满水，缓慢将玻璃板从筒口一侧推到另一侧，容量筒内应满水且不应存在气泡，擦干容量筒外壁，再次称重；</w:t>
      </w:r>
    </w:p>
    <w:p w14:paraId="12B7DE65">
      <w:pPr>
        <w:kinsoku/>
        <w:overflowPunct/>
        <w:bidi w:val="0"/>
        <w:spacing w:line="360" w:lineRule="auto"/>
        <w:ind w:firstLine="420" w:firstLineChars="200"/>
        <w:rPr>
          <w:color w:val="auto"/>
          <w:highlight w:val="none"/>
        </w:rPr>
      </w:pPr>
      <w:r>
        <w:rPr>
          <w:rFonts w:hint="eastAsia"/>
          <w:color w:val="auto"/>
          <w:highlight w:val="none"/>
        </w:rPr>
        <w:t>3）两次称重结果之差除以该温度下水的密度应为容量筒容积V；常温下水的密度可取 1kg/L。</w:t>
      </w:r>
    </w:p>
    <w:p w14:paraId="32DB8742">
      <w:pPr>
        <w:kinsoku/>
        <w:overflowPunct/>
        <w:bidi w:val="0"/>
        <w:spacing w:line="360" w:lineRule="auto"/>
        <w:ind w:firstLine="420" w:firstLineChars="200"/>
        <w:rPr>
          <w:color w:val="auto"/>
          <w:highlight w:val="none"/>
        </w:rPr>
      </w:pPr>
      <w:r>
        <w:rPr>
          <w:rFonts w:hint="eastAsia"/>
          <w:color w:val="auto"/>
          <w:highlight w:val="none"/>
        </w:rPr>
        <w:t>2 容量筒内外壁应擦干净，称出容量筒质量m，应精确至10g。</w:t>
      </w:r>
    </w:p>
    <w:p w14:paraId="2AE0BC28">
      <w:pPr>
        <w:kinsoku/>
        <w:overflowPunct/>
        <w:bidi w:val="0"/>
        <w:spacing w:line="360" w:lineRule="auto"/>
        <w:ind w:firstLine="420" w:firstLineChars="200"/>
        <w:rPr>
          <w:color w:val="auto"/>
          <w:highlight w:val="none"/>
        </w:rPr>
      </w:pPr>
      <w:r>
        <w:rPr>
          <w:rFonts w:hint="eastAsia"/>
          <w:color w:val="auto"/>
          <w:highlight w:val="none"/>
        </w:rPr>
        <w:t>3 超高性能混凝土拌合物试样应一次性装满，用橡皮锤轻轻敲击筒壁使拌合物密实，不得进行插捣。对于扩展度小于650mm的超高性能混凝土拌合物，可根据需要用振动台振实。</w:t>
      </w:r>
    </w:p>
    <w:p w14:paraId="0A9F0175">
      <w:pPr>
        <w:kinsoku/>
        <w:overflowPunct/>
        <w:bidi w:val="0"/>
        <w:spacing w:line="360" w:lineRule="auto"/>
        <w:ind w:firstLine="420" w:firstLineChars="200"/>
        <w:rPr>
          <w:color w:val="auto"/>
          <w:highlight w:val="none"/>
        </w:rPr>
      </w:pPr>
      <w:r>
        <w:rPr>
          <w:rFonts w:hint="eastAsia"/>
          <w:color w:val="auto"/>
          <w:highlight w:val="none"/>
        </w:rPr>
        <w:t>4 将筒口多余的超高性能混凝土拌合物刮去，并将容量筒外壁擦净，称出超高性能混凝土拌合物试样与容量筒总质量，应精确至10g。</w:t>
      </w:r>
    </w:p>
    <w:p w14:paraId="11079E74">
      <w:pPr>
        <w:kinsoku/>
        <w:overflowPunct/>
        <w:bidi w:val="0"/>
        <w:spacing w:line="360" w:lineRule="auto"/>
        <w:outlineLvl w:val="9"/>
        <w:rPr>
          <w:color w:val="auto"/>
          <w:highlight w:val="none"/>
        </w:rPr>
      </w:pPr>
      <w:r>
        <w:rPr>
          <w:rFonts w:hint="eastAsia"/>
          <w:b/>
          <w:bCs/>
          <w:color w:val="auto"/>
          <w:highlight w:val="none"/>
        </w:rPr>
        <w:t xml:space="preserve">5.5.4 </w:t>
      </w:r>
      <w:r>
        <w:rPr>
          <w:rFonts w:hint="eastAsia"/>
          <w:color w:val="auto"/>
          <w:highlight w:val="none"/>
        </w:rPr>
        <w:t>超高性能混凝土拌合物的表观密度应按下式计算：</w:t>
      </w:r>
    </w:p>
    <w:p w14:paraId="6C567D6A">
      <w:pPr>
        <w:tabs>
          <w:tab w:val="center" w:pos="4680"/>
          <w:tab w:val="right" w:pos="9360"/>
        </w:tabs>
        <w:kinsoku/>
        <w:overflowPunct/>
        <w:bidi w:val="0"/>
        <w:adjustRightInd w:val="0"/>
        <w:snapToGrid w:val="0"/>
        <w:spacing w:line="360" w:lineRule="auto"/>
        <w:jc w:val="right"/>
        <w:rPr>
          <w:color w:val="auto"/>
          <w:highlight w:val="none"/>
        </w:rPr>
      </w:pPr>
      <w:r>
        <w:rPr>
          <w:color w:val="auto"/>
          <w:highlight w:val="none"/>
        </w:rPr>
        <w:tab/>
      </w:r>
      <w:r>
        <w:rPr>
          <w:color w:val="auto"/>
          <w:position w:val="-24"/>
          <w:highlight w:val="none"/>
        </w:rPr>
        <w:object>
          <v:shape id="_x0000_i1027" o:spt="75" type="#_x0000_t75" style="height:31.15pt;width:56.8pt;" o:ole="t" filled="f" o:preferrelative="t" stroked="f" coordsize="21600,21600">
            <v:path/>
            <v:fill on="f" focussize="0,0"/>
            <v:stroke on="f" joinstyle="miter"/>
            <v:imagedata r:id="rId19" o:title=""/>
            <o:lock v:ext="edit" aspectratio="t"/>
            <w10:wrap type="none"/>
            <w10:anchorlock/>
          </v:shape>
          <o:OLEObject Type="Embed" ProgID="Equation.DSMT4" ShapeID="_x0000_i1027" DrawAspect="Content" ObjectID="_1468075727" r:id="rId18">
            <o:LockedField>false</o:LockedField>
          </o:OLEObject>
        </w:object>
      </w:r>
      <w:r>
        <w:rPr>
          <w:color w:val="auto"/>
          <w:highlight w:val="none"/>
        </w:rPr>
        <w:tab/>
      </w:r>
      <w:r>
        <w:rPr>
          <w:rFonts w:hint="eastAsia"/>
          <w:color w:val="auto"/>
          <w:highlight w:val="none"/>
        </w:rPr>
        <w:t>（5.5.4）</w:t>
      </w:r>
    </w:p>
    <w:p w14:paraId="4D162AF7">
      <w:pPr>
        <w:kinsoku/>
        <w:overflowPunct/>
        <w:bidi w:val="0"/>
        <w:spacing w:line="360" w:lineRule="auto"/>
        <w:ind w:firstLine="420" w:firstLineChars="200"/>
        <w:rPr>
          <w:color w:val="auto"/>
          <w:highlight w:val="none"/>
        </w:rPr>
      </w:pPr>
      <w:r>
        <w:rPr>
          <w:rFonts w:hint="eastAsia"/>
          <w:color w:val="auto"/>
          <w:highlight w:val="none"/>
        </w:rPr>
        <w:t>式中：</w:t>
      </w:r>
      <w:r>
        <w:rPr>
          <w:rFonts w:hint="eastAsia"/>
          <w:i/>
          <w:iCs/>
          <w:color w:val="auto"/>
          <w:highlight w:val="none"/>
        </w:rPr>
        <w:t>ρ</w:t>
      </w:r>
      <w:r>
        <w:rPr>
          <w:color w:val="auto"/>
          <w:highlight w:val="none"/>
        </w:rPr>
        <w:t>——</w:t>
      </w:r>
      <w:r>
        <w:rPr>
          <w:rFonts w:hint="eastAsia"/>
          <w:color w:val="auto"/>
          <w:highlight w:val="none"/>
        </w:rPr>
        <w:t>超高性能混凝土拌合物表观密度（kg/m</w:t>
      </w:r>
      <w:r>
        <w:rPr>
          <w:rFonts w:hint="eastAsia"/>
          <w:color w:val="auto"/>
          <w:highlight w:val="none"/>
          <w:vertAlign w:val="superscript"/>
        </w:rPr>
        <w:t>3</w:t>
      </w:r>
      <w:r>
        <w:rPr>
          <w:rFonts w:hint="eastAsia"/>
          <w:color w:val="auto"/>
          <w:highlight w:val="none"/>
        </w:rPr>
        <w:t>)，应精确至10kg/m</w:t>
      </w:r>
      <w:r>
        <w:rPr>
          <w:rFonts w:hint="eastAsia"/>
          <w:color w:val="auto"/>
          <w:highlight w:val="none"/>
          <w:vertAlign w:val="superscript"/>
        </w:rPr>
        <w:t>3</w:t>
      </w:r>
      <w:r>
        <w:rPr>
          <w:rFonts w:hint="eastAsia"/>
          <w:color w:val="auto"/>
          <w:highlight w:val="none"/>
        </w:rPr>
        <w:t>；</w:t>
      </w:r>
    </w:p>
    <w:p w14:paraId="667B2F74">
      <w:pPr>
        <w:kinsoku/>
        <w:overflowPunct/>
        <w:bidi w:val="0"/>
        <w:spacing w:line="360" w:lineRule="auto"/>
        <w:ind w:firstLine="420" w:firstLineChars="200"/>
        <w:rPr>
          <w:color w:val="auto"/>
          <w:highlight w:val="none"/>
        </w:rPr>
      </w:pPr>
      <w:bookmarkStart w:id="24" w:name="_Hlk200984886"/>
      <w:r>
        <w:rPr>
          <w:rFonts w:hint="eastAsia"/>
          <w:i/>
          <w:iCs/>
          <w:color w:val="auto"/>
          <w:highlight w:val="none"/>
        </w:rPr>
        <w:t>m</w:t>
      </w:r>
      <w:r>
        <w:rPr>
          <w:rFonts w:hint="eastAsia"/>
          <w:i/>
          <w:iCs/>
          <w:color w:val="auto"/>
          <w:highlight w:val="none"/>
          <w:vertAlign w:val="subscript"/>
        </w:rPr>
        <w:t>1</w:t>
      </w:r>
      <w:bookmarkEnd w:id="24"/>
      <w:r>
        <w:rPr>
          <w:color w:val="auto"/>
          <w:highlight w:val="none"/>
        </w:rPr>
        <w:t>——</w:t>
      </w:r>
      <w:r>
        <w:rPr>
          <w:rFonts w:hint="eastAsia"/>
          <w:color w:val="auto"/>
          <w:highlight w:val="none"/>
        </w:rPr>
        <w:t>容量简质量</w:t>
      </w:r>
      <w:bookmarkStart w:id="25" w:name="OLE_LINK3"/>
      <w:r>
        <w:rPr>
          <w:rFonts w:hint="eastAsia"/>
          <w:color w:val="auto"/>
          <w:highlight w:val="none"/>
        </w:rPr>
        <w:t>（kg)</w:t>
      </w:r>
      <w:bookmarkEnd w:id="25"/>
      <w:r>
        <w:rPr>
          <w:rFonts w:hint="eastAsia"/>
          <w:color w:val="auto"/>
          <w:highlight w:val="none"/>
        </w:rPr>
        <w:t>；</w:t>
      </w:r>
    </w:p>
    <w:p w14:paraId="1ED85A4C">
      <w:pPr>
        <w:kinsoku/>
        <w:overflowPunct/>
        <w:bidi w:val="0"/>
        <w:spacing w:line="360" w:lineRule="auto"/>
        <w:ind w:firstLine="420" w:firstLineChars="200"/>
        <w:rPr>
          <w:color w:val="auto"/>
          <w:highlight w:val="none"/>
        </w:rPr>
      </w:pPr>
      <w:r>
        <w:rPr>
          <w:rFonts w:hint="eastAsia"/>
          <w:i/>
          <w:iCs/>
          <w:color w:val="auto"/>
          <w:highlight w:val="none"/>
        </w:rPr>
        <w:t>m</w:t>
      </w:r>
      <w:r>
        <w:rPr>
          <w:rFonts w:hint="eastAsia"/>
          <w:i/>
          <w:iCs/>
          <w:color w:val="auto"/>
          <w:highlight w:val="none"/>
          <w:vertAlign w:val="subscript"/>
        </w:rPr>
        <w:t>2</w:t>
      </w:r>
      <w:r>
        <w:rPr>
          <w:color w:val="auto"/>
          <w:highlight w:val="none"/>
        </w:rPr>
        <w:t>——</w:t>
      </w:r>
      <w:r>
        <w:rPr>
          <w:rFonts w:hint="eastAsia"/>
          <w:color w:val="auto"/>
          <w:highlight w:val="none"/>
        </w:rPr>
        <w:t>容量筒和试样总质量（kg)；</w:t>
      </w:r>
    </w:p>
    <w:p w14:paraId="6D0CD153">
      <w:pPr>
        <w:kinsoku/>
        <w:overflowPunct/>
        <w:bidi w:val="0"/>
        <w:spacing w:line="360" w:lineRule="auto"/>
        <w:ind w:firstLine="420" w:firstLineChars="200"/>
        <w:rPr>
          <w:i/>
          <w:iCs/>
          <w:color w:val="auto"/>
          <w:highlight w:val="none"/>
        </w:rPr>
      </w:pPr>
      <w:r>
        <w:rPr>
          <w:rFonts w:hint="eastAsia"/>
          <w:i/>
          <w:iCs/>
          <w:color w:val="auto"/>
          <w:highlight w:val="none"/>
        </w:rPr>
        <w:t>V</w:t>
      </w:r>
      <w:r>
        <w:rPr>
          <w:color w:val="auto"/>
          <w:highlight w:val="none"/>
        </w:rPr>
        <w:t>——</w:t>
      </w:r>
      <w:r>
        <w:rPr>
          <w:rFonts w:hint="eastAsia"/>
          <w:color w:val="auto"/>
          <w:highlight w:val="none"/>
        </w:rPr>
        <w:t>容量筒体积（L)。</w:t>
      </w:r>
    </w:p>
    <w:p w14:paraId="1FC75471">
      <w:pPr>
        <w:widowControl/>
        <w:kinsoku/>
        <w:overflowPunct/>
        <w:bidi w:val="0"/>
        <w:spacing w:before="156" w:beforeLines="50" w:after="156" w:afterLines="50" w:line="360" w:lineRule="auto"/>
        <w:jc w:val="both"/>
        <w:outlineLvl w:val="1"/>
        <w:rPr>
          <w:rFonts w:hint="eastAsia" w:ascii="黑体" w:hAnsi="黑体" w:eastAsia="黑体" w:cs="黑体"/>
          <w:b w:val="0"/>
          <w:bCs/>
          <w:color w:val="auto"/>
          <w:kern w:val="0"/>
          <w:szCs w:val="20"/>
          <w:highlight w:val="none"/>
        </w:rPr>
      </w:pPr>
      <w:bookmarkStart w:id="26" w:name="_Toc16334"/>
      <w:r>
        <w:rPr>
          <w:rFonts w:hint="eastAsia" w:ascii="黑体" w:hAnsi="黑体" w:eastAsia="黑体" w:cs="黑体"/>
          <w:b w:val="0"/>
          <w:bCs/>
          <w:color w:val="auto"/>
          <w:kern w:val="0"/>
          <w:szCs w:val="20"/>
          <w:highlight w:val="none"/>
        </w:rPr>
        <w:t>5.6 含气量</w:t>
      </w:r>
      <w:bookmarkEnd w:id="26"/>
    </w:p>
    <w:p w14:paraId="6388DE3F">
      <w:pPr>
        <w:kinsoku/>
        <w:overflowPunct/>
        <w:bidi w:val="0"/>
        <w:spacing w:line="360" w:lineRule="auto"/>
        <w:outlineLvl w:val="9"/>
        <w:rPr>
          <w:color w:val="auto"/>
          <w:highlight w:val="none"/>
        </w:rPr>
      </w:pPr>
      <w:r>
        <w:rPr>
          <w:rFonts w:hint="eastAsia"/>
          <w:b/>
          <w:bCs/>
          <w:color w:val="auto"/>
          <w:highlight w:val="none"/>
        </w:rPr>
        <w:t xml:space="preserve">5.6.1 </w:t>
      </w:r>
      <w:r>
        <w:rPr>
          <w:rFonts w:hint="eastAsia"/>
          <w:color w:val="auto"/>
          <w:highlight w:val="none"/>
        </w:rPr>
        <w:t>本方法适用于超高性能混凝土拌合物含气量的测定。</w:t>
      </w:r>
    </w:p>
    <w:p w14:paraId="14C30615">
      <w:pPr>
        <w:kinsoku/>
        <w:overflowPunct/>
        <w:bidi w:val="0"/>
        <w:spacing w:line="360" w:lineRule="auto"/>
        <w:outlineLvl w:val="9"/>
        <w:rPr>
          <w:color w:val="auto"/>
          <w:highlight w:val="none"/>
        </w:rPr>
      </w:pPr>
      <w:r>
        <w:rPr>
          <w:rFonts w:hint="eastAsia"/>
          <w:b/>
          <w:bCs/>
          <w:color w:val="auto"/>
          <w:highlight w:val="none"/>
        </w:rPr>
        <w:t xml:space="preserve">5.6.2 </w:t>
      </w:r>
      <w:r>
        <w:rPr>
          <w:rFonts w:hint="eastAsia"/>
          <w:color w:val="auto"/>
          <w:highlight w:val="none"/>
        </w:rPr>
        <w:t>含气量试验的试验设备应符合下列规定：</w:t>
      </w:r>
    </w:p>
    <w:p w14:paraId="18CD1C63">
      <w:pPr>
        <w:kinsoku/>
        <w:overflowPunct/>
        <w:bidi w:val="0"/>
        <w:spacing w:line="360" w:lineRule="auto"/>
        <w:ind w:firstLine="420" w:firstLineChars="200"/>
        <w:rPr>
          <w:color w:val="auto"/>
          <w:highlight w:val="none"/>
        </w:rPr>
      </w:pPr>
      <w:r>
        <w:rPr>
          <w:rFonts w:hint="eastAsia"/>
          <w:color w:val="auto"/>
          <w:highlight w:val="none"/>
        </w:rPr>
        <w:t>1 含气量测定仪应符合JG</w:t>
      </w:r>
      <w:r>
        <w:rPr>
          <w:rFonts w:hint="eastAsia"/>
          <w:color w:val="auto"/>
          <w:highlight w:val="none"/>
          <w:lang w:val="en-US" w:eastAsia="zh-CN"/>
        </w:rPr>
        <w:t>J</w:t>
      </w:r>
      <w:r>
        <w:rPr>
          <w:rFonts w:hint="eastAsia"/>
          <w:color w:val="auto"/>
          <w:highlight w:val="none"/>
        </w:rPr>
        <w:t>/T</w:t>
      </w:r>
      <w:r>
        <w:rPr>
          <w:rFonts w:hint="eastAsia"/>
          <w:color w:val="auto"/>
          <w:highlight w:val="none"/>
          <w:lang w:val="en-US" w:eastAsia="zh-CN"/>
        </w:rPr>
        <w:t xml:space="preserve"> 70</w:t>
      </w:r>
      <w:r>
        <w:rPr>
          <w:rFonts w:hint="eastAsia"/>
          <w:color w:val="auto"/>
          <w:highlight w:val="none"/>
        </w:rPr>
        <w:t>的有关规定。</w:t>
      </w:r>
    </w:p>
    <w:p w14:paraId="0FC6C3C1">
      <w:pPr>
        <w:kinsoku/>
        <w:overflowPunct/>
        <w:bidi w:val="0"/>
        <w:spacing w:line="360" w:lineRule="auto"/>
        <w:ind w:firstLine="420" w:firstLineChars="200"/>
        <w:rPr>
          <w:color w:val="auto"/>
          <w:highlight w:val="none"/>
        </w:rPr>
      </w:pPr>
      <w:r>
        <w:rPr>
          <w:rFonts w:hint="eastAsia"/>
          <w:color w:val="auto"/>
          <w:highlight w:val="none"/>
        </w:rPr>
        <w:t>2 电子天平的最大量程应为50kg，感量不应大于10g。</w:t>
      </w:r>
    </w:p>
    <w:p w14:paraId="57508905">
      <w:pPr>
        <w:kinsoku/>
        <w:overflowPunct/>
        <w:bidi w:val="0"/>
        <w:spacing w:line="360" w:lineRule="auto"/>
        <w:ind w:firstLine="420" w:firstLineChars="200"/>
        <w:rPr>
          <w:rFonts w:hint="default"/>
          <w:color w:val="auto"/>
          <w:highlight w:val="none"/>
          <w:lang w:val="en-US"/>
        </w:rPr>
      </w:pPr>
      <w:r>
        <w:rPr>
          <w:rFonts w:hint="eastAsia"/>
          <w:color w:val="auto"/>
          <w:highlight w:val="none"/>
        </w:rPr>
        <w:t>3 振动台应符合JG/T 245的有关规定。</w:t>
      </w:r>
    </w:p>
    <w:p w14:paraId="47A570B7">
      <w:pPr>
        <w:kinsoku/>
        <w:overflowPunct/>
        <w:bidi w:val="0"/>
        <w:spacing w:line="360" w:lineRule="auto"/>
        <w:outlineLvl w:val="9"/>
        <w:rPr>
          <w:color w:val="auto"/>
          <w:highlight w:val="none"/>
        </w:rPr>
      </w:pPr>
      <w:r>
        <w:rPr>
          <w:rFonts w:hint="eastAsia"/>
          <w:b/>
          <w:bCs/>
          <w:color w:val="auto"/>
          <w:highlight w:val="none"/>
        </w:rPr>
        <w:t xml:space="preserve">5.6.3 </w:t>
      </w:r>
      <w:r>
        <w:rPr>
          <w:rFonts w:hint="eastAsia"/>
          <w:color w:val="auto"/>
          <w:highlight w:val="none"/>
        </w:rPr>
        <w:t>含气量试验应按下列步骤进行：</w:t>
      </w:r>
    </w:p>
    <w:p w14:paraId="30E1E589">
      <w:pPr>
        <w:kinsoku/>
        <w:overflowPunct/>
        <w:bidi w:val="0"/>
        <w:spacing w:line="360" w:lineRule="auto"/>
        <w:ind w:firstLine="420" w:firstLineChars="200"/>
        <w:rPr>
          <w:color w:val="auto"/>
          <w:highlight w:val="none"/>
        </w:rPr>
      </w:pPr>
      <w:r>
        <w:rPr>
          <w:rFonts w:hint="eastAsia"/>
          <w:color w:val="auto"/>
          <w:highlight w:val="none"/>
        </w:rPr>
        <w:t>1 用湿布擦净混凝土含气量测定仪容器内壁和盖的内表面，装入超高性能混凝土拌合物试样。</w:t>
      </w:r>
    </w:p>
    <w:p w14:paraId="652F966E">
      <w:pPr>
        <w:kinsoku/>
        <w:overflowPunct/>
        <w:bidi w:val="0"/>
        <w:spacing w:line="360" w:lineRule="auto"/>
        <w:ind w:firstLine="420" w:firstLineChars="200"/>
        <w:rPr>
          <w:color w:val="auto"/>
          <w:highlight w:val="none"/>
        </w:rPr>
      </w:pPr>
      <w:r>
        <w:rPr>
          <w:rFonts w:hint="eastAsia"/>
          <w:color w:val="auto"/>
          <w:highlight w:val="none"/>
        </w:rPr>
        <w:t>2 超高性能混凝土拌合物应一次性填满容器，用皮锤轻轻敲击容器外壁使拌合物密实，不得进行插捣。对于扩展度小于650mm的超高性能混凝土拌合物，可根据需要用振动台振实。</w:t>
      </w:r>
    </w:p>
    <w:p w14:paraId="6DAAD5BF">
      <w:pPr>
        <w:kinsoku/>
        <w:overflowPunct/>
        <w:bidi w:val="0"/>
        <w:spacing w:line="360" w:lineRule="auto"/>
        <w:ind w:firstLine="420" w:firstLineChars="200"/>
        <w:rPr>
          <w:color w:val="auto"/>
          <w:highlight w:val="none"/>
        </w:rPr>
      </w:pPr>
      <w:r>
        <w:rPr>
          <w:rFonts w:hint="eastAsia"/>
          <w:color w:val="auto"/>
          <w:highlight w:val="none"/>
        </w:rPr>
        <w:t>3 刮去表面多余的超高性能混凝土拌合物，用抹刀刮平。</w:t>
      </w:r>
    </w:p>
    <w:p w14:paraId="4DD6EDC8">
      <w:pPr>
        <w:kinsoku/>
        <w:overflowPunct/>
        <w:bidi w:val="0"/>
        <w:spacing w:line="360" w:lineRule="auto"/>
        <w:ind w:firstLine="420" w:firstLineChars="200"/>
        <w:rPr>
          <w:color w:val="auto"/>
          <w:highlight w:val="none"/>
        </w:rPr>
      </w:pPr>
      <w:r>
        <w:rPr>
          <w:rFonts w:hint="eastAsia"/>
          <w:color w:val="auto"/>
          <w:highlight w:val="none"/>
        </w:rPr>
        <w:t>4 擦净容器口及边缘，加盖并拧紧螺栓，应保持密封不透气。</w:t>
      </w:r>
    </w:p>
    <w:p w14:paraId="496CF2FD">
      <w:pPr>
        <w:kinsoku/>
        <w:overflowPunct/>
        <w:bidi w:val="0"/>
        <w:spacing w:line="360" w:lineRule="auto"/>
        <w:ind w:firstLine="420" w:firstLineChars="200"/>
        <w:rPr>
          <w:color w:val="auto"/>
          <w:highlight w:val="none"/>
        </w:rPr>
      </w:pPr>
      <w:r>
        <w:rPr>
          <w:rFonts w:hint="eastAsia"/>
          <w:color w:val="auto"/>
          <w:highlight w:val="none"/>
        </w:rPr>
        <w:t>5 关闭操作阀和排气阀，打开排水阀和加水阀，应通过加水阀向容器内注入水；当排水阀流出的水流中不出现气泡时，应在注水状态下，关闭加水阀和排水阀。</w:t>
      </w:r>
    </w:p>
    <w:p w14:paraId="73B2ABE0">
      <w:pPr>
        <w:kinsoku/>
        <w:overflowPunct/>
        <w:bidi w:val="0"/>
        <w:spacing w:line="360" w:lineRule="auto"/>
        <w:ind w:firstLine="420" w:firstLineChars="200"/>
        <w:rPr>
          <w:color w:val="auto"/>
          <w:highlight w:val="none"/>
        </w:rPr>
      </w:pPr>
      <w:r>
        <w:rPr>
          <w:rFonts w:hint="eastAsia"/>
          <w:color w:val="auto"/>
          <w:highlight w:val="none"/>
        </w:rPr>
        <w:t>6 关闭排气阀，向室内打气，应加压至大于0.1MPa，且压力表显示值稳定</w:t>
      </w:r>
      <w:r>
        <w:rPr>
          <w:rFonts w:hint="eastAsia"/>
          <w:color w:val="auto"/>
          <w:highlight w:val="none"/>
          <w:lang w:eastAsia="zh-CN"/>
        </w:rPr>
        <w:t>；</w:t>
      </w:r>
      <w:r>
        <w:rPr>
          <w:rFonts w:hint="eastAsia"/>
          <w:color w:val="auto"/>
          <w:highlight w:val="none"/>
        </w:rPr>
        <w:t>应打开排气阀调压至0.1MPa，同时关闭排气阀。</w:t>
      </w:r>
    </w:p>
    <w:p w14:paraId="287893A8">
      <w:pPr>
        <w:kinsoku/>
        <w:overflowPunct/>
        <w:bidi w:val="0"/>
        <w:spacing w:line="360" w:lineRule="auto"/>
        <w:ind w:firstLine="420" w:firstLineChars="200"/>
        <w:rPr>
          <w:color w:val="auto"/>
          <w:highlight w:val="none"/>
        </w:rPr>
      </w:pPr>
      <w:r>
        <w:rPr>
          <w:rFonts w:hint="eastAsia"/>
          <w:color w:val="auto"/>
          <w:highlight w:val="none"/>
        </w:rPr>
        <w:t>7 开启操作阀，使气室里的压缩空气进入容器，待压力表显示值稳定后记录压力值，然后开启排气阀，压力表显示值应回零；应根据含气量与压力值之间的关系曲线确定压力值对应的拌合物的含气量</w:t>
      </w:r>
      <w:r>
        <w:rPr>
          <w:rFonts w:hint="eastAsia"/>
          <w:i/>
          <w:iCs/>
          <w:color w:val="auto"/>
          <w:highlight w:val="none"/>
        </w:rPr>
        <w:t>A</w:t>
      </w:r>
      <w:r>
        <w:rPr>
          <w:rFonts w:hint="eastAsia"/>
          <w:color w:val="auto"/>
          <w:highlight w:val="none"/>
          <w:vertAlign w:val="subscript"/>
        </w:rPr>
        <w:t>0</w:t>
      </w:r>
      <w:r>
        <w:rPr>
          <w:rFonts w:hint="eastAsia"/>
          <w:color w:val="auto"/>
          <w:highlight w:val="none"/>
        </w:rPr>
        <w:t>，应精确至0.1%。</w:t>
      </w:r>
    </w:p>
    <w:p w14:paraId="34C5616F">
      <w:pPr>
        <w:kinsoku/>
        <w:overflowPunct/>
        <w:bidi w:val="0"/>
        <w:spacing w:line="360" w:lineRule="auto"/>
        <w:ind w:firstLine="420" w:firstLineChars="200"/>
        <w:rPr>
          <w:color w:val="auto"/>
          <w:highlight w:val="none"/>
        </w:rPr>
      </w:pPr>
      <w:r>
        <w:rPr>
          <w:rFonts w:hint="eastAsia"/>
          <w:color w:val="auto"/>
          <w:highlight w:val="none"/>
        </w:rPr>
        <w:t>8 超高性能混凝土拌合物的含气量</w:t>
      </w:r>
      <w:r>
        <w:rPr>
          <w:rFonts w:hint="eastAsia"/>
          <w:i/>
          <w:iCs/>
          <w:color w:val="auto"/>
          <w:highlight w:val="none"/>
        </w:rPr>
        <w:t>A</w:t>
      </w:r>
      <w:r>
        <w:rPr>
          <w:rFonts w:hint="eastAsia"/>
          <w:color w:val="auto"/>
          <w:highlight w:val="none"/>
          <w:vertAlign w:val="subscript"/>
        </w:rPr>
        <w:t>0</w:t>
      </w:r>
      <w:r>
        <w:rPr>
          <w:rFonts w:hint="eastAsia"/>
          <w:color w:val="auto"/>
          <w:highlight w:val="none"/>
        </w:rPr>
        <w:t>应以两次测量结果的平均值作为试验结果</w:t>
      </w:r>
      <w:r>
        <w:rPr>
          <w:rFonts w:hint="eastAsia"/>
          <w:color w:val="auto"/>
          <w:highlight w:val="none"/>
          <w:lang w:eastAsia="zh-CN"/>
        </w:rPr>
        <w:t>；</w:t>
      </w:r>
      <w:r>
        <w:rPr>
          <w:rFonts w:hint="eastAsia"/>
          <w:color w:val="auto"/>
          <w:highlight w:val="none"/>
        </w:rPr>
        <w:t>两次测量结果的含气量相差大于0.5%时，应重新试验。</w:t>
      </w:r>
    </w:p>
    <w:p w14:paraId="1337AB28">
      <w:pPr>
        <w:kinsoku/>
        <w:overflowPunct/>
        <w:bidi w:val="0"/>
        <w:spacing w:line="360" w:lineRule="auto"/>
        <w:outlineLvl w:val="9"/>
        <w:rPr>
          <w:color w:val="auto"/>
          <w:highlight w:val="none"/>
        </w:rPr>
      </w:pPr>
      <w:r>
        <w:rPr>
          <w:rFonts w:hint="eastAsia"/>
          <w:b/>
          <w:bCs/>
          <w:color w:val="auto"/>
          <w:highlight w:val="none"/>
        </w:rPr>
        <w:t xml:space="preserve">5.6.4 </w:t>
      </w:r>
      <w:r>
        <w:rPr>
          <w:rFonts w:hint="eastAsia"/>
          <w:color w:val="auto"/>
          <w:highlight w:val="none"/>
        </w:rPr>
        <w:t>含气量测定仪的标定和率定应按下列步骤进行：</w:t>
      </w:r>
    </w:p>
    <w:p w14:paraId="59ADCA1D">
      <w:pPr>
        <w:kinsoku/>
        <w:overflowPunct/>
        <w:bidi w:val="0"/>
        <w:spacing w:line="360" w:lineRule="auto"/>
        <w:ind w:firstLine="420" w:firstLineChars="200"/>
        <w:rPr>
          <w:color w:val="auto"/>
          <w:highlight w:val="none"/>
        </w:rPr>
      </w:pPr>
      <w:r>
        <w:rPr>
          <w:rFonts w:hint="eastAsia"/>
          <w:color w:val="auto"/>
          <w:highlight w:val="none"/>
        </w:rPr>
        <w:t>1 擦净容器，并将含气量测定仪全部安装好，测定含气量测定仪的总质量</w:t>
      </w:r>
      <w:r>
        <w:rPr>
          <w:rFonts w:hint="eastAsia"/>
          <w:i/>
          <w:iCs/>
          <w:color w:val="auto"/>
          <w:highlight w:val="none"/>
        </w:rPr>
        <w:t>m</w:t>
      </w:r>
      <w:r>
        <w:rPr>
          <w:rFonts w:hint="eastAsia"/>
          <w:color w:val="auto"/>
          <w:highlight w:val="none"/>
          <w:vertAlign w:val="subscript"/>
        </w:rPr>
        <w:t>A1</w:t>
      </w:r>
      <w:r>
        <w:rPr>
          <w:rFonts w:hint="eastAsia"/>
          <w:color w:val="auto"/>
          <w:highlight w:val="none"/>
        </w:rPr>
        <w:t>，应精确至10g。</w:t>
      </w:r>
    </w:p>
    <w:p w14:paraId="7B2F974B">
      <w:pPr>
        <w:kinsoku/>
        <w:overflowPunct/>
        <w:bidi w:val="0"/>
        <w:spacing w:line="360" w:lineRule="auto"/>
        <w:ind w:firstLine="420" w:firstLineChars="200"/>
        <w:rPr>
          <w:color w:val="auto"/>
          <w:highlight w:val="none"/>
        </w:rPr>
      </w:pPr>
      <w:r>
        <w:rPr>
          <w:rFonts w:hint="eastAsia"/>
          <w:color w:val="auto"/>
          <w:highlight w:val="none"/>
        </w:rPr>
        <w:t>2 向容器内注入水至上沿，然后加盖并拧紧螺栓，保持密封不透气；关闭操作阀和排气阀，打开排水阀和加水阀，应通过加水阀向容器内注入水；当排水阀排出的水流中不出现气泡时应在注水的状态下，关闭加水阀和排水阀；应将含气量测定仪外表面擦净，再次测定总质量</w:t>
      </w:r>
      <w:r>
        <w:rPr>
          <w:rFonts w:hint="eastAsia"/>
          <w:i/>
          <w:iCs/>
          <w:color w:val="auto"/>
          <w:highlight w:val="none"/>
        </w:rPr>
        <w:t>m</w:t>
      </w:r>
      <w:r>
        <w:rPr>
          <w:rFonts w:hint="eastAsia"/>
          <w:color w:val="auto"/>
          <w:highlight w:val="none"/>
          <w:vertAlign w:val="subscript"/>
        </w:rPr>
        <w:t>A2</w:t>
      </w:r>
      <w:r>
        <w:rPr>
          <w:rFonts w:hint="eastAsia"/>
          <w:color w:val="auto"/>
          <w:highlight w:val="none"/>
        </w:rPr>
        <w:t>，应精确至10g。</w:t>
      </w:r>
    </w:p>
    <w:p w14:paraId="6BCC1380">
      <w:pPr>
        <w:widowControl/>
        <w:kinsoku/>
        <w:overflowPunct/>
        <w:autoSpaceDE w:val="0"/>
        <w:autoSpaceDN w:val="0"/>
        <w:bidi w:val="0"/>
        <w:spacing w:line="360" w:lineRule="auto"/>
        <w:ind w:firstLine="420" w:firstLineChars="200"/>
        <w:rPr>
          <w:color w:val="auto"/>
          <w:highlight w:val="none"/>
        </w:rPr>
      </w:pPr>
      <w:r>
        <w:rPr>
          <w:rFonts w:hint="eastAsia"/>
          <w:color w:val="auto"/>
          <w:highlight w:val="none"/>
        </w:rPr>
        <w:t>3 含气量测定仪的容积应按下式计算：</w:t>
      </w:r>
      <w:r>
        <w:rPr>
          <w:rFonts w:ascii="宋体" w:hAnsi="宋体" w:eastAsia="黑体"/>
          <w:color w:val="auto"/>
          <w:kern w:val="0"/>
          <w:szCs w:val="20"/>
          <w:highlight w:val="none"/>
        </w:rPr>
        <w:tab/>
      </w:r>
      <w:r>
        <w:rPr>
          <w:rFonts w:ascii="宋体" w:hAnsi="宋体" w:eastAsia="黑体"/>
          <w:color w:val="auto"/>
          <w:kern w:val="0"/>
          <w:position w:val="-4"/>
          <w:szCs w:val="20"/>
          <w:highlight w:val="none"/>
        </w:rPr>
        <w:object>
          <v:shape id="_x0000_i1028" o:spt="75" type="#_x0000_t75" style="height:13.6pt;width:8.95pt;" o:ole="t" filled="f" o:preferrelative="t" stroked="f" coordsize="21600,21600">
            <v:path/>
            <v:fill on="f" focussize="0,0"/>
            <v:stroke on="f" joinstyle="miter"/>
            <v:imagedata r:id="rId21" o:title=""/>
            <o:lock v:ext="edit" aspectratio="t"/>
            <w10:wrap type="none"/>
            <w10:anchorlock/>
          </v:shape>
          <o:OLEObject Type="Embed" ProgID="Equation.DSMT4" ShapeID="_x0000_i1028" DrawAspect="Content" ObjectID="_1468075728" r:id="rId20">
            <o:LockedField>false</o:LockedField>
          </o:OLEObject>
        </w:object>
      </w:r>
    </w:p>
    <w:p w14:paraId="0F150E10">
      <w:pPr>
        <w:tabs>
          <w:tab w:val="center" w:pos="4680"/>
          <w:tab w:val="right" w:pos="9360"/>
        </w:tabs>
        <w:kinsoku/>
        <w:overflowPunct/>
        <w:bidi w:val="0"/>
        <w:adjustRightInd w:val="0"/>
        <w:snapToGrid w:val="0"/>
        <w:spacing w:line="360" w:lineRule="auto"/>
        <w:jc w:val="right"/>
        <w:outlineLvl w:val="9"/>
        <w:rPr>
          <w:color w:val="auto"/>
          <w:highlight w:val="none"/>
        </w:rPr>
      </w:pPr>
      <w:r>
        <w:rPr>
          <w:color w:val="auto"/>
          <w:highlight w:val="none"/>
        </w:rPr>
        <w:tab/>
      </w:r>
      <w:r>
        <w:rPr>
          <w:color w:val="auto"/>
          <w:position w:val="-30"/>
          <w:highlight w:val="none"/>
        </w:rPr>
        <w:object>
          <v:shape id="_x0000_i1029" o:spt="75" type="#_x0000_t75" style="height:34.25pt;width:70.85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29" r:id="rId22">
            <o:LockedField>false</o:LockedField>
          </o:OLEObject>
        </w:object>
      </w:r>
      <w:r>
        <w:rPr>
          <w:color w:val="auto"/>
          <w:highlight w:val="none"/>
        </w:rPr>
        <w:tab/>
      </w:r>
      <w:r>
        <w:rPr>
          <w:rFonts w:hint="eastAsia"/>
          <w:color w:val="auto"/>
          <w:highlight w:val="none"/>
        </w:rPr>
        <w:t>（5.6.4）</w:t>
      </w:r>
    </w:p>
    <w:p w14:paraId="35C93954">
      <w:pPr>
        <w:kinsoku/>
        <w:overflowPunct/>
        <w:bidi w:val="0"/>
        <w:spacing w:line="360" w:lineRule="auto"/>
        <w:rPr>
          <w:color w:val="auto"/>
          <w:highlight w:val="none"/>
        </w:rPr>
      </w:pPr>
      <w:r>
        <w:rPr>
          <w:rFonts w:hint="eastAsia"/>
          <w:color w:val="auto"/>
          <w:highlight w:val="none"/>
        </w:rPr>
        <w:t>式中：V</w:t>
      </w:r>
      <w:r>
        <w:rPr>
          <w:color w:val="auto"/>
          <w:highlight w:val="none"/>
        </w:rPr>
        <w:t>——</w:t>
      </w:r>
      <w:r>
        <w:rPr>
          <w:rFonts w:hint="eastAsia"/>
          <w:color w:val="auto"/>
          <w:highlight w:val="none"/>
        </w:rPr>
        <w:t>含气量测定仪的容积（L），应精确至0.01L；</w:t>
      </w:r>
    </w:p>
    <w:p w14:paraId="03A92A3B">
      <w:pPr>
        <w:kinsoku/>
        <w:overflowPunct/>
        <w:bidi w:val="0"/>
        <w:spacing w:line="360" w:lineRule="auto"/>
        <w:ind w:firstLine="420" w:firstLineChars="200"/>
        <w:rPr>
          <w:color w:val="auto"/>
          <w:highlight w:val="none"/>
        </w:rPr>
      </w:pPr>
      <w:r>
        <w:rPr>
          <w:rFonts w:hint="eastAsia"/>
          <w:i/>
          <w:iCs/>
          <w:color w:val="auto"/>
          <w:highlight w:val="none"/>
        </w:rPr>
        <w:t>m</w:t>
      </w:r>
      <w:r>
        <w:rPr>
          <w:rFonts w:hint="eastAsia"/>
          <w:color w:val="auto"/>
          <w:highlight w:val="none"/>
          <w:vertAlign w:val="subscript"/>
        </w:rPr>
        <w:t>A1</w:t>
      </w:r>
      <w:r>
        <w:rPr>
          <w:color w:val="auto"/>
          <w:highlight w:val="none"/>
        </w:rPr>
        <w:t>——</w:t>
      </w:r>
      <w:r>
        <w:rPr>
          <w:rFonts w:hint="eastAsia"/>
          <w:color w:val="auto"/>
          <w:highlight w:val="none"/>
        </w:rPr>
        <w:t>含气量测定仪的总质量（kg）；</w:t>
      </w:r>
    </w:p>
    <w:p w14:paraId="0BC5BD54">
      <w:pPr>
        <w:kinsoku/>
        <w:overflowPunct/>
        <w:bidi w:val="0"/>
        <w:spacing w:line="360" w:lineRule="auto"/>
        <w:ind w:firstLine="420" w:firstLineChars="200"/>
        <w:rPr>
          <w:color w:val="auto"/>
          <w:highlight w:val="none"/>
        </w:rPr>
      </w:pPr>
      <w:r>
        <w:rPr>
          <w:rFonts w:hint="eastAsia"/>
          <w:i/>
          <w:iCs/>
          <w:color w:val="auto"/>
          <w:highlight w:val="none"/>
        </w:rPr>
        <w:t>m</w:t>
      </w:r>
      <w:r>
        <w:rPr>
          <w:rFonts w:hint="eastAsia"/>
          <w:color w:val="auto"/>
          <w:highlight w:val="none"/>
          <w:vertAlign w:val="subscript"/>
        </w:rPr>
        <w:t>A2</w:t>
      </w:r>
      <w:r>
        <w:rPr>
          <w:color w:val="auto"/>
          <w:highlight w:val="none"/>
        </w:rPr>
        <w:t>——</w:t>
      </w:r>
      <w:r>
        <w:rPr>
          <w:rFonts w:hint="eastAsia"/>
          <w:color w:val="auto"/>
          <w:highlight w:val="none"/>
        </w:rPr>
        <w:t>水、含气量测定仪的总质量（kg）；</w:t>
      </w:r>
    </w:p>
    <w:p w14:paraId="3BFCF337">
      <w:pPr>
        <w:kinsoku/>
        <w:overflowPunct/>
        <w:bidi w:val="0"/>
        <w:spacing w:line="360" w:lineRule="auto"/>
        <w:ind w:firstLine="420" w:firstLineChars="200"/>
        <w:rPr>
          <w:color w:val="auto"/>
          <w:highlight w:val="none"/>
        </w:rPr>
      </w:pPr>
      <w:r>
        <w:rPr>
          <w:rFonts w:hint="eastAsia"/>
          <w:i/>
          <w:iCs/>
          <w:color w:val="auto"/>
          <w:highlight w:val="none"/>
        </w:rPr>
        <w:t>ρ</w:t>
      </w:r>
      <w:r>
        <w:rPr>
          <w:rFonts w:hint="eastAsia"/>
          <w:color w:val="auto"/>
          <w:highlight w:val="none"/>
          <w:vertAlign w:val="subscript"/>
        </w:rPr>
        <w:t>w</w:t>
      </w:r>
      <w:r>
        <w:rPr>
          <w:color w:val="auto"/>
          <w:highlight w:val="none"/>
        </w:rPr>
        <w:t>——</w:t>
      </w:r>
      <w:r>
        <w:rPr>
          <w:rFonts w:hint="eastAsia"/>
          <w:color w:val="auto"/>
          <w:highlight w:val="none"/>
        </w:rPr>
        <w:t>容器内水的密度（kg/m</w:t>
      </w:r>
      <w:r>
        <w:rPr>
          <w:rFonts w:hint="eastAsia"/>
          <w:color w:val="auto"/>
          <w:highlight w:val="none"/>
          <w:vertAlign w:val="superscript"/>
        </w:rPr>
        <w:t>3</w:t>
      </w:r>
      <w:r>
        <w:rPr>
          <w:rFonts w:hint="eastAsia" w:ascii="宋体" w:hAnsi="宋体"/>
          <w:color w:val="auto"/>
          <w:highlight w:val="none"/>
        </w:rPr>
        <w:t>)</w:t>
      </w:r>
      <w:r>
        <w:rPr>
          <w:rFonts w:hint="eastAsia"/>
          <w:color w:val="auto"/>
          <w:highlight w:val="none"/>
        </w:rPr>
        <w:t>，可取1kg/L。</w:t>
      </w:r>
    </w:p>
    <w:p w14:paraId="720B6B8E">
      <w:pPr>
        <w:kinsoku/>
        <w:overflowPunct/>
        <w:bidi w:val="0"/>
        <w:spacing w:line="360" w:lineRule="auto"/>
        <w:ind w:firstLine="420" w:firstLineChars="200"/>
        <w:rPr>
          <w:color w:val="auto"/>
          <w:highlight w:val="none"/>
        </w:rPr>
      </w:pPr>
      <w:r>
        <w:rPr>
          <w:rFonts w:hint="eastAsia"/>
          <w:color w:val="auto"/>
          <w:highlight w:val="none"/>
        </w:rPr>
        <w:t>4 关闭排气阀，向气室内打气，应加压至大于0.1MPa，且压力表显示值稳定;应打开排气阀调压至0.1MPa，同时关闭排气阀。</w:t>
      </w:r>
    </w:p>
    <w:p w14:paraId="3B2A19FA">
      <w:pPr>
        <w:kinsoku/>
        <w:overflowPunct/>
        <w:bidi w:val="0"/>
        <w:spacing w:line="360" w:lineRule="auto"/>
        <w:ind w:firstLine="420" w:firstLineChars="200"/>
        <w:rPr>
          <w:color w:val="auto"/>
          <w:highlight w:val="none"/>
        </w:rPr>
      </w:pPr>
      <w:r>
        <w:rPr>
          <w:rFonts w:hint="eastAsia"/>
          <w:color w:val="auto"/>
          <w:highlight w:val="none"/>
        </w:rPr>
        <w:t>5 开启操作阀，使气室里的压缩空气进入容器，压力表显示值稳定后测得压力值应为含气量为零时对应的压力值。</w:t>
      </w:r>
    </w:p>
    <w:p w14:paraId="59335B2B">
      <w:pPr>
        <w:kinsoku/>
        <w:overflowPunct/>
        <w:bidi w:val="0"/>
        <w:spacing w:line="360" w:lineRule="auto"/>
        <w:ind w:firstLine="420" w:firstLineChars="200"/>
        <w:rPr>
          <w:color w:val="auto"/>
          <w:highlight w:val="none"/>
        </w:rPr>
      </w:pPr>
      <w:r>
        <w:rPr>
          <w:rFonts w:hint="eastAsia"/>
          <w:color w:val="auto"/>
          <w:highlight w:val="none"/>
        </w:rPr>
        <w:t>6 开启排气阀，压力表显示值应回零；关闭操作阀、排水阀和排气阀，开启加水阀，宜借助标定管在注水阀口用量筒接水；用气泵缓缓地向气室内打气，当排出的水是含气量测定仪容积的1%时，应按本条中第4款和第5款的操作步骤测定含气量为1%时的压力值。</w:t>
      </w:r>
    </w:p>
    <w:p w14:paraId="223D682D">
      <w:pPr>
        <w:kinsoku/>
        <w:overflowPunct/>
        <w:bidi w:val="0"/>
        <w:spacing w:line="360" w:lineRule="auto"/>
        <w:ind w:firstLine="420" w:firstLineChars="200"/>
        <w:rPr>
          <w:color w:val="auto"/>
          <w:highlight w:val="none"/>
        </w:rPr>
      </w:pPr>
      <w:r>
        <w:rPr>
          <w:rFonts w:hint="eastAsia"/>
          <w:color w:val="auto"/>
          <w:highlight w:val="none"/>
        </w:rPr>
        <w:t>7 应继续测取含气量分别为2%、3%、4%、5%、6%、7%、8%、9%、10%时的压力值。</w:t>
      </w:r>
    </w:p>
    <w:p w14:paraId="28D23AE0">
      <w:pPr>
        <w:kinsoku/>
        <w:overflowPunct/>
        <w:bidi w:val="0"/>
        <w:spacing w:line="360" w:lineRule="auto"/>
        <w:ind w:firstLine="420" w:firstLineChars="200"/>
        <w:rPr>
          <w:color w:val="auto"/>
          <w:highlight w:val="none"/>
        </w:rPr>
      </w:pPr>
      <w:r>
        <w:rPr>
          <w:rFonts w:hint="eastAsia"/>
          <w:color w:val="auto"/>
          <w:highlight w:val="none"/>
        </w:rPr>
        <w:t>8 含气量分别为0、1%、2%、3%、4%、5%、6%、7%、8%、9%、10%的试验均应进行两次，以两次压力值的平均值作为测量结果。</w:t>
      </w:r>
    </w:p>
    <w:p w14:paraId="24296384">
      <w:pPr>
        <w:kinsoku/>
        <w:overflowPunct/>
        <w:bidi w:val="0"/>
        <w:spacing w:line="360" w:lineRule="auto"/>
        <w:ind w:firstLine="420" w:firstLineChars="200"/>
        <w:rPr>
          <w:color w:val="auto"/>
          <w:highlight w:val="none"/>
        </w:rPr>
      </w:pPr>
      <w:r>
        <w:rPr>
          <w:rFonts w:hint="eastAsia"/>
          <w:color w:val="auto"/>
          <w:highlight w:val="none"/>
        </w:rPr>
        <w:t>9 根据含气量0、1%、2%、3%、4%、5%、6%、7%、8%、9%、10%的测量结果，绘制含气量与压力值之间的关系曲线。</w:t>
      </w:r>
    </w:p>
    <w:p w14:paraId="62DB8502">
      <w:pPr>
        <w:kinsoku/>
        <w:overflowPunct/>
        <w:bidi w:val="0"/>
        <w:spacing w:line="360" w:lineRule="auto"/>
        <w:outlineLvl w:val="9"/>
        <w:rPr>
          <w:color w:val="auto"/>
          <w:highlight w:val="none"/>
        </w:rPr>
      </w:pPr>
      <w:r>
        <w:rPr>
          <w:rFonts w:hint="eastAsia"/>
          <w:b/>
          <w:bCs/>
          <w:color w:val="auto"/>
          <w:highlight w:val="none"/>
        </w:rPr>
        <w:t>5</w:t>
      </w:r>
      <w:r>
        <w:rPr>
          <w:b/>
          <w:bCs/>
          <w:color w:val="auto"/>
          <w:highlight w:val="none"/>
        </w:rPr>
        <w:t>.6.5</w:t>
      </w:r>
      <w:r>
        <w:rPr>
          <w:rFonts w:hint="eastAsia"/>
          <w:b/>
          <w:bCs/>
          <w:color w:val="auto"/>
          <w:highlight w:val="none"/>
        </w:rPr>
        <w:t xml:space="preserve"> </w:t>
      </w:r>
      <w:r>
        <w:rPr>
          <w:rFonts w:hint="eastAsia"/>
          <w:color w:val="auto"/>
          <w:highlight w:val="none"/>
        </w:rPr>
        <w:t>含气量测定仪的标定和率定应保证测试结果准确。</w:t>
      </w:r>
    </w:p>
    <w:p w14:paraId="1A8A9790">
      <w:pPr>
        <w:widowControl/>
        <w:kinsoku/>
        <w:overflowPunct/>
        <w:bidi w:val="0"/>
        <w:spacing w:before="156" w:beforeLines="50" w:after="156" w:afterLines="50" w:line="360" w:lineRule="auto"/>
        <w:jc w:val="both"/>
        <w:outlineLvl w:val="1"/>
        <w:rPr>
          <w:rFonts w:hint="eastAsia" w:ascii="黑体" w:hAnsi="黑体" w:eastAsia="黑体" w:cs="黑体"/>
          <w:b w:val="0"/>
          <w:bCs/>
          <w:color w:val="auto"/>
          <w:kern w:val="0"/>
          <w:szCs w:val="20"/>
          <w:highlight w:val="none"/>
        </w:rPr>
      </w:pPr>
      <w:bookmarkStart w:id="27" w:name="_Toc17076"/>
      <w:r>
        <w:rPr>
          <w:rFonts w:hint="eastAsia" w:ascii="黑体" w:hAnsi="黑体" w:eastAsia="黑体" w:cs="黑体"/>
          <w:b w:val="0"/>
          <w:bCs/>
          <w:color w:val="auto"/>
          <w:kern w:val="0"/>
          <w:szCs w:val="20"/>
          <w:highlight w:val="none"/>
        </w:rPr>
        <w:t>5.7 纤维体积率</w:t>
      </w:r>
      <w:bookmarkEnd w:id="27"/>
    </w:p>
    <w:p w14:paraId="51E53020">
      <w:pPr>
        <w:kinsoku/>
        <w:overflowPunct/>
        <w:bidi w:val="0"/>
        <w:spacing w:line="360" w:lineRule="auto"/>
        <w:outlineLvl w:val="9"/>
        <w:rPr>
          <w:color w:val="auto"/>
          <w:highlight w:val="none"/>
        </w:rPr>
      </w:pPr>
      <w:r>
        <w:rPr>
          <w:rFonts w:hint="eastAsia"/>
          <w:color w:val="auto"/>
          <w:highlight w:val="none"/>
        </w:rPr>
        <w:t>5.7.1 本方法适用于超高性能混凝土拌合物纤维体积率的测定。</w:t>
      </w:r>
    </w:p>
    <w:p w14:paraId="60741A08">
      <w:pPr>
        <w:kinsoku/>
        <w:overflowPunct/>
        <w:bidi w:val="0"/>
        <w:spacing w:line="360" w:lineRule="auto"/>
        <w:outlineLvl w:val="9"/>
        <w:rPr>
          <w:color w:val="auto"/>
          <w:highlight w:val="none"/>
        </w:rPr>
      </w:pPr>
      <w:r>
        <w:rPr>
          <w:rFonts w:hint="eastAsia"/>
          <w:color w:val="auto"/>
          <w:highlight w:val="none"/>
        </w:rPr>
        <w:t>5.7.2 纤维体积率试验所用设备应符合下列规定：</w:t>
      </w:r>
    </w:p>
    <w:p w14:paraId="6117A003">
      <w:pPr>
        <w:widowControl/>
        <w:numPr>
          <w:ilvl w:val="0"/>
          <w:numId w:val="13"/>
        </w:numPr>
        <w:kinsoku/>
        <w:overflowPunct/>
        <w:bidi w:val="0"/>
        <w:spacing w:line="360" w:lineRule="auto"/>
        <w:ind w:firstLine="420" w:firstLineChars="200"/>
        <w:jc w:val="left"/>
        <w:rPr>
          <w:color w:val="auto"/>
          <w:kern w:val="0"/>
          <w:szCs w:val="20"/>
          <w:highlight w:val="none"/>
        </w:rPr>
      </w:pPr>
      <w:r>
        <w:rPr>
          <w:rFonts w:hint="eastAsia"/>
          <w:color w:val="auto"/>
          <w:kern w:val="0"/>
          <w:szCs w:val="20"/>
          <w:highlight w:val="none"/>
        </w:rPr>
        <w:t xml:space="preserve">  电子天平：用于称量钢纤维的电子天平量程应大于1kg，感量不应大于1g。用于称量合成纤维的电子天平量程应大于100g，感量不应大于0.02g。</w:t>
      </w:r>
    </w:p>
    <w:p w14:paraId="62627DA3">
      <w:pPr>
        <w:widowControl/>
        <w:numPr>
          <w:ilvl w:val="0"/>
          <w:numId w:val="13"/>
        </w:numPr>
        <w:kinsoku/>
        <w:overflowPunct/>
        <w:bidi w:val="0"/>
        <w:spacing w:line="360" w:lineRule="auto"/>
        <w:ind w:firstLine="420" w:firstLineChars="200"/>
        <w:jc w:val="left"/>
        <w:rPr>
          <w:color w:val="auto"/>
          <w:kern w:val="0"/>
          <w:szCs w:val="20"/>
          <w:highlight w:val="none"/>
        </w:rPr>
      </w:pPr>
      <w:r>
        <w:rPr>
          <w:rFonts w:hint="eastAsia"/>
          <w:color w:val="auto"/>
          <w:kern w:val="0"/>
          <w:szCs w:val="20"/>
          <w:highlight w:val="none"/>
        </w:rPr>
        <w:t xml:space="preserve">  </w:t>
      </w:r>
      <w:r>
        <w:rPr>
          <w:color w:val="auto"/>
          <w:spacing w:val="3"/>
          <w:szCs w:val="21"/>
          <w:highlight w:val="none"/>
        </w:rPr>
        <w:t>容量筒：容积应为5L。</w:t>
      </w:r>
    </w:p>
    <w:p w14:paraId="777ABB4A">
      <w:pPr>
        <w:widowControl/>
        <w:numPr>
          <w:ilvl w:val="0"/>
          <w:numId w:val="13"/>
        </w:numPr>
        <w:kinsoku/>
        <w:overflowPunct/>
        <w:bidi w:val="0"/>
        <w:spacing w:line="360" w:lineRule="auto"/>
        <w:ind w:firstLine="432" w:firstLineChars="200"/>
        <w:jc w:val="left"/>
        <w:rPr>
          <w:color w:val="auto"/>
          <w:kern w:val="0"/>
          <w:szCs w:val="20"/>
          <w:highlight w:val="none"/>
        </w:rPr>
      </w:pPr>
      <w:r>
        <w:rPr>
          <w:rFonts w:hint="eastAsia"/>
          <w:color w:val="auto"/>
          <w:spacing w:val="3"/>
          <w:szCs w:val="21"/>
          <w:highlight w:val="none"/>
        </w:rPr>
        <w:t xml:space="preserve">  </w:t>
      </w:r>
      <w:r>
        <w:rPr>
          <w:color w:val="auto"/>
          <w:spacing w:val="1"/>
          <w:szCs w:val="21"/>
          <w:highlight w:val="none"/>
        </w:rPr>
        <w:t>不锈钢丝筛网：网孔尺寸应为2.5</w:t>
      </w:r>
      <w:r>
        <w:rPr>
          <w:color w:val="auto"/>
          <w:szCs w:val="21"/>
          <w:highlight w:val="none"/>
        </w:rPr>
        <w:t>mm</w:t>
      </w:r>
      <w:r>
        <w:rPr>
          <w:color w:val="auto"/>
          <w:spacing w:val="1"/>
          <w:szCs w:val="21"/>
          <w:highlight w:val="none"/>
        </w:rPr>
        <w:t>×2.5</w:t>
      </w:r>
      <w:r>
        <w:rPr>
          <w:color w:val="auto"/>
          <w:szCs w:val="21"/>
          <w:highlight w:val="none"/>
        </w:rPr>
        <w:t>mm</w:t>
      </w:r>
      <w:r>
        <w:rPr>
          <w:color w:val="auto"/>
          <w:spacing w:val="1"/>
          <w:szCs w:val="21"/>
          <w:highlight w:val="none"/>
        </w:rPr>
        <w:t>。</w:t>
      </w:r>
    </w:p>
    <w:p w14:paraId="3A70075C">
      <w:pPr>
        <w:widowControl/>
        <w:numPr>
          <w:ilvl w:val="0"/>
          <w:numId w:val="13"/>
        </w:numPr>
        <w:kinsoku/>
        <w:overflowPunct/>
        <w:bidi w:val="0"/>
        <w:spacing w:line="360" w:lineRule="auto"/>
        <w:ind w:firstLine="424" w:firstLineChars="200"/>
        <w:jc w:val="left"/>
        <w:rPr>
          <w:color w:val="auto"/>
          <w:kern w:val="0"/>
          <w:szCs w:val="20"/>
          <w:highlight w:val="none"/>
        </w:rPr>
      </w:pPr>
      <w:r>
        <w:rPr>
          <w:rFonts w:hint="eastAsia"/>
          <w:color w:val="auto"/>
          <w:spacing w:val="1"/>
          <w:szCs w:val="21"/>
          <w:highlight w:val="none"/>
        </w:rPr>
        <w:t xml:space="preserve">  </w:t>
      </w:r>
      <w:r>
        <w:rPr>
          <w:rFonts w:hint="eastAsia"/>
          <w:color w:val="auto"/>
          <w:spacing w:val="-1"/>
          <w:szCs w:val="21"/>
          <w:highlight w:val="none"/>
        </w:rPr>
        <w:t>工具</w:t>
      </w:r>
      <w:r>
        <w:rPr>
          <w:color w:val="auto"/>
          <w:spacing w:val="-1"/>
          <w:szCs w:val="21"/>
          <w:highlight w:val="none"/>
        </w:rPr>
        <w:t>：橡皮锤、铁铲、</w:t>
      </w:r>
      <w:r>
        <w:rPr>
          <w:rFonts w:hint="eastAsia"/>
          <w:color w:val="auto"/>
          <w:spacing w:val="-1"/>
          <w:szCs w:val="21"/>
          <w:highlight w:val="none"/>
        </w:rPr>
        <w:t>大</w:t>
      </w:r>
      <w:r>
        <w:rPr>
          <w:color w:val="auto"/>
          <w:spacing w:val="-1"/>
          <w:szCs w:val="21"/>
          <w:highlight w:val="none"/>
        </w:rPr>
        <w:t>容器、磁铁。</w:t>
      </w:r>
    </w:p>
    <w:p w14:paraId="76D72976">
      <w:pPr>
        <w:kinsoku/>
        <w:overflowPunct/>
        <w:bidi w:val="0"/>
        <w:spacing w:line="360" w:lineRule="auto"/>
        <w:outlineLvl w:val="9"/>
        <w:rPr>
          <w:color w:val="auto"/>
          <w:highlight w:val="none"/>
        </w:rPr>
      </w:pPr>
      <w:r>
        <w:rPr>
          <w:rFonts w:hint="eastAsia"/>
          <w:color w:val="auto"/>
          <w:highlight w:val="none"/>
        </w:rPr>
        <w:t>5</w:t>
      </w:r>
      <w:r>
        <w:rPr>
          <w:color w:val="auto"/>
          <w:highlight w:val="none"/>
        </w:rPr>
        <w:t>.7.</w:t>
      </w:r>
      <w:r>
        <w:rPr>
          <w:rFonts w:hint="eastAsia"/>
          <w:color w:val="auto"/>
          <w:highlight w:val="none"/>
        </w:rPr>
        <w:t>3 纤维体积率试验应按下列步骤进行：</w:t>
      </w:r>
    </w:p>
    <w:p w14:paraId="375E9A4A">
      <w:pPr>
        <w:widowControl/>
        <w:kinsoku/>
        <w:overflowPunct/>
        <w:bidi w:val="0"/>
        <w:spacing w:line="360" w:lineRule="auto"/>
        <w:ind w:firstLine="420" w:firstLineChars="200"/>
        <w:jc w:val="left"/>
        <w:rPr>
          <w:color w:val="auto"/>
          <w:kern w:val="0"/>
          <w:szCs w:val="20"/>
          <w:highlight w:val="none"/>
        </w:rPr>
      </w:pPr>
      <w:r>
        <w:rPr>
          <w:rFonts w:hint="eastAsia"/>
          <w:color w:val="auto"/>
          <w:kern w:val="0"/>
          <w:szCs w:val="20"/>
          <w:highlight w:val="none"/>
        </w:rPr>
        <w:t xml:space="preserve">1 </w:t>
      </w:r>
      <w:r>
        <w:rPr>
          <w:color w:val="auto"/>
          <w:spacing w:val="3"/>
          <w:szCs w:val="21"/>
          <w:highlight w:val="none"/>
        </w:rPr>
        <w:t>将超高性能混凝土拌合物一次性灌至高出容量筒口，装</w:t>
      </w:r>
      <w:r>
        <w:rPr>
          <w:color w:val="auto"/>
          <w:spacing w:val="-1"/>
          <w:szCs w:val="21"/>
          <w:highlight w:val="none"/>
        </w:rPr>
        <w:t>完后用橡皮锤轻轻敲击筒壁使拌合物密实，不得进行插捣。对于</w:t>
      </w:r>
      <w:r>
        <w:rPr>
          <w:color w:val="auto"/>
          <w:spacing w:val="5"/>
          <w:szCs w:val="21"/>
          <w:highlight w:val="none"/>
        </w:rPr>
        <w:t>扩展度小于650</w:t>
      </w:r>
      <w:r>
        <w:rPr>
          <w:rFonts w:eastAsia="Times New Roman"/>
          <w:color w:val="auto"/>
          <w:szCs w:val="21"/>
          <w:highlight w:val="none"/>
        </w:rPr>
        <w:t>mm</w:t>
      </w:r>
      <w:r>
        <w:rPr>
          <w:color w:val="auto"/>
          <w:spacing w:val="5"/>
          <w:szCs w:val="21"/>
          <w:highlight w:val="none"/>
        </w:rPr>
        <w:t>的超高性能混凝土拌合物，</w:t>
      </w:r>
      <w:r>
        <w:rPr>
          <w:color w:val="auto"/>
          <w:spacing w:val="4"/>
          <w:szCs w:val="21"/>
          <w:highlight w:val="none"/>
        </w:rPr>
        <w:t>可根据需要用振</w:t>
      </w:r>
      <w:r>
        <w:rPr>
          <w:color w:val="auto"/>
          <w:spacing w:val="-3"/>
          <w:szCs w:val="21"/>
          <w:highlight w:val="none"/>
        </w:rPr>
        <w:t>动台振实。</w:t>
      </w:r>
      <w:r>
        <w:rPr>
          <w:color w:val="auto"/>
          <w:spacing w:val="-4"/>
          <w:szCs w:val="21"/>
          <w:highlight w:val="none"/>
        </w:rPr>
        <w:t>刮去多余拌合物，将表面抹平。</w:t>
      </w:r>
    </w:p>
    <w:p w14:paraId="4351DDA0">
      <w:pPr>
        <w:widowControl/>
        <w:kinsoku/>
        <w:overflowPunct/>
        <w:bidi w:val="0"/>
        <w:spacing w:line="360" w:lineRule="auto"/>
        <w:ind w:firstLine="420" w:firstLineChars="200"/>
        <w:jc w:val="left"/>
        <w:rPr>
          <w:color w:val="auto"/>
          <w:spacing w:val="-3"/>
          <w:szCs w:val="21"/>
          <w:highlight w:val="none"/>
        </w:rPr>
      </w:pPr>
      <w:r>
        <w:rPr>
          <w:rFonts w:hint="eastAsia"/>
          <w:color w:val="auto"/>
          <w:kern w:val="0"/>
          <w:szCs w:val="20"/>
          <w:highlight w:val="none"/>
        </w:rPr>
        <w:t xml:space="preserve">2 </w:t>
      </w:r>
      <w:r>
        <w:rPr>
          <w:color w:val="auto"/>
          <w:spacing w:val="4"/>
          <w:szCs w:val="21"/>
          <w:highlight w:val="none"/>
        </w:rPr>
        <w:t>将拌合物倒入不小于10倍拌合物体积的大容器中</w:t>
      </w:r>
      <w:r>
        <w:rPr>
          <w:color w:val="auto"/>
          <w:spacing w:val="3"/>
          <w:szCs w:val="21"/>
          <w:highlight w:val="none"/>
        </w:rPr>
        <w:t>，加水</w:t>
      </w:r>
      <w:r>
        <w:rPr>
          <w:color w:val="auto"/>
          <w:szCs w:val="21"/>
          <w:highlight w:val="none"/>
        </w:rPr>
        <w:t>搅拌。对于加钢纤维的超高性能混凝土拌合</w:t>
      </w:r>
      <w:r>
        <w:rPr>
          <w:color w:val="auto"/>
          <w:spacing w:val="-1"/>
          <w:szCs w:val="21"/>
          <w:highlight w:val="none"/>
        </w:rPr>
        <w:t>物，可将稀浆慢慢倒</w:t>
      </w:r>
      <w:r>
        <w:rPr>
          <w:color w:val="auto"/>
          <w:szCs w:val="21"/>
          <w:highlight w:val="none"/>
        </w:rPr>
        <w:t>出，应在所余的骨料及钢纤维残渣中用磁铁搜</w:t>
      </w:r>
      <w:r>
        <w:rPr>
          <w:color w:val="auto"/>
          <w:spacing w:val="-1"/>
          <w:szCs w:val="21"/>
          <w:highlight w:val="none"/>
        </w:rPr>
        <w:t>集钢纤维，并仔细</w:t>
      </w:r>
      <w:r>
        <w:rPr>
          <w:color w:val="auto"/>
          <w:spacing w:val="2"/>
          <w:szCs w:val="21"/>
          <w:highlight w:val="none"/>
        </w:rPr>
        <w:t>洗净粘附在钢纤维上的异物。对于合成纤维可用筛网收集</w:t>
      </w:r>
      <w:r>
        <w:rPr>
          <w:color w:val="auto"/>
          <w:spacing w:val="1"/>
          <w:szCs w:val="21"/>
          <w:highlight w:val="none"/>
        </w:rPr>
        <w:t>纤维，</w:t>
      </w:r>
      <w:r>
        <w:rPr>
          <w:color w:val="auto"/>
          <w:spacing w:val="-3"/>
          <w:szCs w:val="21"/>
          <w:highlight w:val="none"/>
        </w:rPr>
        <w:t>并仔细洗净粘附在纤维上的异物。</w:t>
      </w:r>
    </w:p>
    <w:p w14:paraId="019B3F69">
      <w:pPr>
        <w:widowControl/>
        <w:kinsoku/>
        <w:overflowPunct/>
        <w:bidi w:val="0"/>
        <w:spacing w:line="360" w:lineRule="auto"/>
        <w:ind w:firstLine="408" w:firstLineChars="200"/>
        <w:jc w:val="left"/>
        <w:rPr>
          <w:rFonts w:hint="eastAsia"/>
          <w:color w:val="auto"/>
          <w:spacing w:val="-3"/>
          <w:szCs w:val="21"/>
          <w:highlight w:val="none"/>
        </w:rPr>
      </w:pPr>
      <w:r>
        <w:rPr>
          <w:rFonts w:hint="eastAsia"/>
          <w:color w:val="auto"/>
          <w:spacing w:val="-3"/>
          <w:szCs w:val="21"/>
          <w:highlight w:val="none"/>
        </w:rPr>
        <w:t>3 收集的纤维应在105℃±5℃的温度下烘干至恒重，烘干时间不应少于4h，每隔1h称量一次，直到连续两次称量之差小于较小值0.5%时为止。冷却至室温后应称其重量，钢纤维应精确至1g，合成纤维应精确至0.02g。</w:t>
      </w:r>
    </w:p>
    <w:p w14:paraId="586CDB94">
      <w:pPr>
        <w:widowControl/>
        <w:kinsoku/>
        <w:overflowPunct/>
        <w:bidi w:val="0"/>
        <w:spacing w:line="360" w:lineRule="auto"/>
        <w:ind w:firstLine="408" w:firstLineChars="200"/>
        <w:jc w:val="left"/>
        <w:rPr>
          <w:rFonts w:hint="default" w:eastAsia="宋体"/>
          <w:color w:val="auto"/>
          <w:spacing w:val="-3"/>
          <w:szCs w:val="21"/>
          <w:highlight w:val="none"/>
          <w:lang w:val="en-US" w:eastAsia="zh-CN"/>
        </w:rPr>
      </w:pPr>
      <w:r>
        <w:rPr>
          <w:rFonts w:hint="eastAsia"/>
          <w:color w:val="auto"/>
          <w:spacing w:val="-3"/>
          <w:szCs w:val="21"/>
          <w:highlight w:val="none"/>
          <w:lang w:val="en-US" w:eastAsia="zh-CN"/>
        </w:rPr>
        <w:t>4 当纤维不易分离时，可先进行拌合物加水清洗，收集细骨料及纤维，烘干后再进行细骨料与纤维分离，收集纤维，再进行烘干称重。</w:t>
      </w:r>
    </w:p>
    <w:p w14:paraId="1FD50491">
      <w:pPr>
        <w:kinsoku/>
        <w:overflowPunct/>
        <w:bidi w:val="0"/>
        <w:spacing w:line="360" w:lineRule="auto"/>
        <w:outlineLvl w:val="9"/>
        <w:rPr>
          <w:color w:val="auto"/>
          <w:highlight w:val="none"/>
        </w:rPr>
      </w:pPr>
      <w:r>
        <w:rPr>
          <w:rFonts w:hint="eastAsia"/>
          <w:color w:val="auto"/>
          <w:highlight w:val="none"/>
        </w:rPr>
        <w:t>5</w:t>
      </w:r>
      <w:r>
        <w:rPr>
          <w:color w:val="auto"/>
          <w:highlight w:val="none"/>
        </w:rPr>
        <w:t>.7.</w:t>
      </w:r>
      <w:r>
        <w:rPr>
          <w:rFonts w:hint="eastAsia"/>
          <w:color w:val="auto"/>
          <w:highlight w:val="none"/>
        </w:rPr>
        <w:t>4</w:t>
      </w:r>
      <w:r>
        <w:rPr>
          <w:color w:val="auto"/>
          <w:highlight w:val="none"/>
        </w:rPr>
        <w:t xml:space="preserve"> </w:t>
      </w:r>
      <w:r>
        <w:rPr>
          <w:rFonts w:hint="eastAsia"/>
          <w:color w:val="auto"/>
          <w:highlight w:val="none"/>
        </w:rPr>
        <w:t>结果计算</w:t>
      </w:r>
    </w:p>
    <w:p w14:paraId="4A1CE36D">
      <w:pPr>
        <w:widowControl/>
        <w:kinsoku/>
        <w:overflowPunct/>
        <w:bidi w:val="0"/>
        <w:spacing w:line="360" w:lineRule="auto"/>
        <w:ind w:firstLine="420" w:firstLineChars="200"/>
        <w:jc w:val="left"/>
        <w:rPr>
          <w:color w:val="auto"/>
          <w:kern w:val="0"/>
          <w:szCs w:val="20"/>
          <w:highlight w:val="none"/>
        </w:rPr>
      </w:pPr>
      <w:r>
        <w:rPr>
          <w:rFonts w:hint="eastAsia"/>
          <w:color w:val="auto"/>
          <w:kern w:val="0"/>
          <w:szCs w:val="20"/>
          <w:highlight w:val="none"/>
        </w:rPr>
        <w:t>1 纤维体积率应按下式计算：</w:t>
      </w:r>
    </w:p>
    <w:p w14:paraId="514DA1A4">
      <w:pPr>
        <w:widowControl/>
        <w:kinsoku/>
        <w:overflowPunct/>
        <w:bidi w:val="0"/>
        <w:spacing w:line="360" w:lineRule="auto"/>
        <w:jc w:val="center"/>
        <w:rPr>
          <w:color w:val="auto"/>
          <w:position w:val="-17"/>
          <w:sz w:val="18"/>
          <w:szCs w:val="18"/>
          <w:highlight w:val="none"/>
        </w:rPr>
      </w:pPr>
      <w:r>
        <w:rPr>
          <w:color w:val="auto"/>
          <w:position w:val="-30"/>
          <w:sz w:val="18"/>
          <w:szCs w:val="18"/>
          <w:highlight w:val="none"/>
        </w:rPr>
        <w:object>
          <v:shape id="_x0000_i1030" o:spt="75" type="#_x0000_t75" style="height:34.25pt;width:85.2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p>
    <w:p w14:paraId="2A3EF0A3">
      <w:pPr>
        <w:kinsoku/>
        <w:overflowPunct/>
        <w:bidi w:val="0"/>
        <w:spacing w:before="95" w:line="360" w:lineRule="auto"/>
        <w:ind w:left="9"/>
        <w:rPr>
          <w:color w:val="auto"/>
          <w:spacing w:val="-3"/>
          <w:szCs w:val="21"/>
          <w:highlight w:val="none"/>
        </w:rPr>
      </w:pPr>
      <w:r>
        <w:rPr>
          <w:rFonts w:hint="eastAsia"/>
          <w:color w:val="auto"/>
          <w:spacing w:val="-3"/>
          <w:szCs w:val="21"/>
          <w:highlight w:val="none"/>
        </w:rPr>
        <w:t>式中：</w:t>
      </w:r>
      <w:r>
        <w:rPr>
          <w:color w:val="auto"/>
          <w:spacing w:val="-3"/>
          <w:szCs w:val="21"/>
          <w:highlight w:val="none"/>
        </w:rPr>
        <w:object>
          <v:shape id="_x0000_i1031" o:spt="75" type="#_x0000_t75" style="height:16.75pt;width:15.2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eastAsia="Times New Roman"/>
          <w:color w:val="auto"/>
          <w:spacing w:val="-3"/>
          <w:szCs w:val="21"/>
          <w:highlight w:val="none"/>
        </w:rPr>
        <w:t>——</w:t>
      </w:r>
      <w:r>
        <w:rPr>
          <w:rFonts w:hint="eastAsia"/>
          <w:color w:val="auto"/>
          <w:spacing w:val="-3"/>
          <w:szCs w:val="21"/>
          <w:highlight w:val="none"/>
        </w:rPr>
        <w:t>超高性能混凝土的纤维体积率(%)；</w:t>
      </w:r>
    </w:p>
    <w:p w14:paraId="4BA271CF">
      <w:pPr>
        <w:kinsoku/>
        <w:overflowPunct/>
        <w:bidi w:val="0"/>
        <w:spacing w:before="95" w:line="360" w:lineRule="auto"/>
        <w:ind w:left="9" w:firstLine="612" w:firstLineChars="300"/>
        <w:rPr>
          <w:color w:val="auto"/>
          <w:spacing w:val="-3"/>
          <w:szCs w:val="21"/>
          <w:highlight w:val="none"/>
        </w:rPr>
      </w:pPr>
      <w:r>
        <w:rPr>
          <w:color w:val="auto"/>
          <w:spacing w:val="-3"/>
          <w:szCs w:val="21"/>
          <w:highlight w:val="none"/>
        </w:rPr>
        <w:object>
          <v:shape id="_x0000_i1032" o:spt="75" type="#_x0000_t75" style="height:16.75pt;width:16.75pt;" o:ole="t" filled="f" o:preferrelative="t" stroked="f" coordsize="21600,21600">
            <v:path/>
            <v:fill on="f" focussize="0,0"/>
            <v:stroke on="f" joinstyle="miter"/>
            <v:imagedata r:id="rId29" o:title=""/>
            <o:lock v:ext="edit" aspectratio="t"/>
            <w10:wrap type="none"/>
            <w10:anchorlock/>
          </v:shape>
          <o:OLEObject Type="Embed" ProgID="Equation.3" ShapeID="_x0000_i1032" DrawAspect="Content" ObjectID="_1468075732" r:id="rId28">
            <o:LockedField>false</o:LockedField>
          </o:OLEObject>
        </w:object>
      </w:r>
      <w:r>
        <w:rPr>
          <w:rFonts w:eastAsia="Times New Roman"/>
          <w:color w:val="auto"/>
          <w:spacing w:val="-3"/>
          <w:szCs w:val="21"/>
          <w:highlight w:val="none"/>
        </w:rPr>
        <w:t>——</w:t>
      </w:r>
      <w:r>
        <w:rPr>
          <w:rFonts w:hint="eastAsia"/>
          <w:color w:val="auto"/>
          <w:spacing w:val="-3"/>
          <w:szCs w:val="21"/>
          <w:highlight w:val="none"/>
        </w:rPr>
        <w:t>容量筒中纤维质量 (g)；</w:t>
      </w:r>
    </w:p>
    <w:p w14:paraId="31F4EED0">
      <w:pPr>
        <w:kinsoku/>
        <w:overflowPunct/>
        <w:bidi w:val="0"/>
        <w:spacing w:before="68" w:line="360" w:lineRule="auto"/>
        <w:ind w:left="629"/>
        <w:rPr>
          <w:color w:val="auto"/>
          <w:szCs w:val="21"/>
          <w:highlight w:val="none"/>
        </w:rPr>
      </w:pPr>
      <w:r>
        <w:rPr>
          <w:rFonts w:eastAsia="Times New Roman"/>
          <w:color w:val="auto"/>
          <w:szCs w:val="21"/>
          <w:highlight w:val="none"/>
        </w:rPr>
        <w:t>V——</w:t>
      </w:r>
      <w:r>
        <w:rPr>
          <w:rFonts w:ascii="宋体" w:hAnsi="宋体" w:cs="宋体"/>
          <w:color w:val="auto"/>
          <w:szCs w:val="21"/>
          <w:highlight w:val="none"/>
        </w:rPr>
        <w:t>容量筒容积</w:t>
      </w:r>
      <w:r>
        <w:rPr>
          <w:rFonts w:ascii="宋体" w:hAnsi="宋体" w:cs="宋体"/>
          <w:color w:val="auto"/>
          <w:spacing w:val="-26"/>
          <w:szCs w:val="21"/>
          <w:highlight w:val="none"/>
        </w:rPr>
        <w:t xml:space="preserve"> </w:t>
      </w:r>
      <w:r>
        <w:rPr>
          <w:rFonts w:eastAsia="Times New Roman"/>
          <w:color w:val="auto"/>
          <w:szCs w:val="21"/>
          <w:highlight w:val="none"/>
        </w:rPr>
        <w:t>(L)</w:t>
      </w:r>
      <w:r>
        <w:rPr>
          <w:rFonts w:hint="eastAsia"/>
          <w:color w:val="auto"/>
          <w:szCs w:val="21"/>
          <w:highlight w:val="none"/>
        </w:rPr>
        <w:t>；</w:t>
      </w:r>
    </w:p>
    <w:p w14:paraId="1C7A6886">
      <w:pPr>
        <w:kinsoku/>
        <w:overflowPunct/>
        <w:bidi w:val="0"/>
        <w:spacing w:before="95" w:line="360" w:lineRule="auto"/>
        <w:ind w:left="9" w:firstLine="612" w:firstLineChars="300"/>
        <w:rPr>
          <w:color w:val="auto"/>
          <w:spacing w:val="-3"/>
          <w:szCs w:val="21"/>
          <w:highlight w:val="none"/>
        </w:rPr>
      </w:pPr>
      <w:r>
        <w:rPr>
          <w:color w:val="auto"/>
          <w:spacing w:val="-3"/>
          <w:position w:val="-10"/>
          <w:szCs w:val="21"/>
          <w:highlight w:val="none"/>
        </w:rPr>
        <w:object>
          <v:shape id="_x0000_i1033" o:spt="75" type="#_x0000_t75" style="height:16.75pt;width:13.25pt;" o:ole="t" filled="f" o:preferrelative="t" stroked="f" coordsize="21600,21600">
            <v:path/>
            <v:fill on="f" focussize="0,0"/>
            <v:stroke on="f" joinstyle="miter"/>
            <v:imagedata r:id="rId31" o:title=""/>
            <o:lock v:ext="edit" aspectratio="t"/>
            <w10:wrap type="none"/>
            <w10:anchorlock/>
          </v:shape>
          <o:OLEObject Type="Embed" ProgID="Equation.3" ShapeID="_x0000_i1033" DrawAspect="Content" ObjectID="_1468075733" r:id="rId30">
            <o:LockedField>false</o:LockedField>
          </o:OLEObject>
        </w:object>
      </w:r>
      <w:r>
        <w:rPr>
          <w:rFonts w:eastAsia="Times New Roman"/>
          <w:color w:val="auto"/>
          <w:spacing w:val="-4"/>
          <w:szCs w:val="21"/>
          <w:highlight w:val="none"/>
        </w:rPr>
        <w:t>——</w:t>
      </w:r>
      <w:r>
        <w:rPr>
          <w:rFonts w:ascii="宋体" w:hAnsi="宋体" w:cs="宋体"/>
          <w:color w:val="auto"/>
          <w:spacing w:val="-4"/>
          <w:szCs w:val="21"/>
          <w:highlight w:val="none"/>
        </w:rPr>
        <w:t xml:space="preserve">纤维的质量密度 </w:t>
      </w:r>
      <w:r>
        <w:rPr>
          <w:rFonts w:eastAsia="Times New Roman"/>
          <w:color w:val="auto"/>
          <w:spacing w:val="-4"/>
          <w:szCs w:val="21"/>
          <w:highlight w:val="none"/>
        </w:rPr>
        <w:t>(kg/m³)</w:t>
      </w:r>
      <w:r>
        <w:rPr>
          <w:rFonts w:ascii="宋体" w:hAnsi="宋体" w:cs="宋体"/>
          <w:color w:val="auto"/>
          <w:spacing w:val="-4"/>
          <w:szCs w:val="21"/>
          <w:highlight w:val="none"/>
        </w:rPr>
        <w:t>。</w:t>
      </w:r>
    </w:p>
    <w:p w14:paraId="1F0890AF">
      <w:pPr>
        <w:kinsoku/>
        <w:overflowPunct/>
        <w:bidi w:val="0"/>
        <w:spacing w:line="360" w:lineRule="auto"/>
        <w:ind w:firstLine="420" w:firstLineChars="200"/>
        <w:rPr>
          <w:color w:val="auto"/>
          <w:highlight w:val="none"/>
        </w:rPr>
      </w:pPr>
      <w:r>
        <w:rPr>
          <w:rFonts w:hint="eastAsia"/>
          <w:color w:val="auto"/>
          <w:highlight w:val="none"/>
        </w:rPr>
        <w:t>2</w:t>
      </w:r>
      <w:r>
        <w:rPr>
          <w:color w:val="auto"/>
          <w:highlight w:val="none"/>
        </w:rPr>
        <w:t xml:space="preserve"> 纤维体积率的</w:t>
      </w:r>
      <w:r>
        <w:rPr>
          <w:rFonts w:hint="eastAsia"/>
          <w:color w:val="auto"/>
          <w:highlight w:val="none"/>
        </w:rPr>
        <w:t>试验结果</w:t>
      </w:r>
      <w:r>
        <w:rPr>
          <w:color w:val="auto"/>
          <w:highlight w:val="none"/>
        </w:rPr>
        <w:t>应为纤维体积率两次测定值的平均值。</w:t>
      </w:r>
    </w:p>
    <w:p w14:paraId="26A33F4D">
      <w:pPr>
        <w:widowControl/>
        <w:kinsoku/>
        <w:overflowPunct/>
        <w:bidi w:val="0"/>
        <w:spacing w:before="156" w:beforeLines="50" w:after="156" w:afterLines="50" w:line="360" w:lineRule="auto"/>
        <w:jc w:val="both"/>
        <w:outlineLvl w:val="1"/>
        <w:rPr>
          <w:rFonts w:hint="eastAsia" w:ascii="黑体" w:hAnsi="黑体" w:eastAsia="黑体" w:cs="黑体"/>
          <w:b w:val="0"/>
          <w:bCs/>
          <w:color w:val="auto"/>
          <w:kern w:val="0"/>
          <w:szCs w:val="20"/>
          <w:highlight w:val="none"/>
        </w:rPr>
      </w:pPr>
      <w:bookmarkStart w:id="28" w:name="_Toc26513"/>
      <w:bookmarkStart w:id="29" w:name="OLE_LINK4"/>
      <w:r>
        <w:rPr>
          <w:rFonts w:hint="eastAsia" w:ascii="黑体" w:hAnsi="黑体" w:eastAsia="黑体" w:cs="黑体"/>
          <w:b w:val="0"/>
          <w:bCs/>
          <w:color w:val="auto"/>
          <w:kern w:val="0"/>
          <w:szCs w:val="20"/>
          <w:highlight w:val="none"/>
        </w:rPr>
        <w:t>5.8 纤维分布均匀性</w:t>
      </w:r>
      <w:bookmarkEnd w:id="28"/>
    </w:p>
    <w:bookmarkEnd w:id="29"/>
    <w:p w14:paraId="5FC02983">
      <w:pPr>
        <w:kinsoku/>
        <w:overflowPunct/>
        <w:bidi w:val="0"/>
        <w:spacing w:line="360" w:lineRule="auto"/>
        <w:outlineLvl w:val="9"/>
        <w:rPr>
          <w:b/>
          <w:bCs/>
          <w:color w:val="auto"/>
          <w:highlight w:val="none"/>
        </w:rPr>
      </w:pPr>
      <w:r>
        <w:rPr>
          <w:rFonts w:hint="eastAsia"/>
          <w:b/>
          <w:bCs/>
          <w:color w:val="auto"/>
          <w:highlight w:val="none"/>
        </w:rPr>
        <w:t>5.8.1 圆筒法</w:t>
      </w:r>
    </w:p>
    <w:p w14:paraId="3174D6C9">
      <w:pPr>
        <w:kinsoku/>
        <w:overflowPunct/>
        <w:bidi w:val="0"/>
        <w:spacing w:line="360" w:lineRule="auto"/>
        <w:outlineLvl w:val="9"/>
        <w:rPr>
          <w:rFonts w:hint="default" w:eastAsia="宋体"/>
          <w:color w:val="auto"/>
          <w:highlight w:val="none"/>
          <w:lang w:val="en-US" w:eastAsia="zh-CN"/>
        </w:rPr>
      </w:pPr>
      <w:r>
        <w:rPr>
          <w:rFonts w:hint="eastAsia"/>
          <w:color w:val="auto"/>
          <w:highlight w:val="none"/>
          <w:lang w:val="en-US" w:eastAsia="zh-CN"/>
        </w:rPr>
        <w:t>1 本方法用于检验超高性能混凝土拌合物中的纤维在振动情况下的分布均匀性。</w:t>
      </w:r>
    </w:p>
    <w:p w14:paraId="6A057DCC">
      <w:pPr>
        <w:kinsoku/>
        <w:overflowPunct/>
        <w:bidi w:val="0"/>
        <w:spacing w:line="360" w:lineRule="auto"/>
        <w:outlineLvl w:val="9"/>
        <w:rPr>
          <w:color w:val="auto"/>
          <w:highlight w:val="none"/>
        </w:rPr>
      </w:pPr>
      <w:r>
        <w:rPr>
          <w:rFonts w:hint="eastAsia"/>
          <w:color w:val="auto"/>
          <w:highlight w:val="none"/>
          <w:lang w:val="en-US" w:eastAsia="zh-CN"/>
        </w:rPr>
        <w:t>2</w:t>
      </w:r>
      <w:r>
        <w:rPr>
          <w:color w:val="auto"/>
          <w:highlight w:val="none"/>
        </w:rPr>
        <w:t xml:space="preserve"> </w:t>
      </w:r>
      <w:r>
        <w:rPr>
          <w:rFonts w:hint="eastAsia"/>
          <w:color w:val="auto"/>
          <w:kern w:val="0"/>
          <w:szCs w:val="20"/>
          <w:highlight w:val="none"/>
        </w:rPr>
        <w:t>仪器设备应符合以下规定：</w:t>
      </w:r>
    </w:p>
    <w:p w14:paraId="6FB7FAEF">
      <w:pPr>
        <w:widowControl/>
        <w:numPr>
          <w:ilvl w:val="0"/>
          <w:numId w:val="14"/>
        </w:numPr>
        <w:kinsoku/>
        <w:overflowPunct/>
        <w:bidi w:val="0"/>
        <w:spacing w:line="360" w:lineRule="auto"/>
        <w:ind w:firstLine="420" w:firstLineChars="200"/>
        <w:jc w:val="left"/>
        <w:rPr>
          <w:color w:val="auto"/>
          <w:kern w:val="0"/>
          <w:szCs w:val="20"/>
          <w:highlight w:val="none"/>
        </w:rPr>
      </w:pPr>
      <w:r>
        <w:rPr>
          <w:rFonts w:hint="eastAsia"/>
          <w:color w:val="auto"/>
          <w:kern w:val="0"/>
          <w:szCs w:val="20"/>
          <w:highlight w:val="none"/>
        </w:rPr>
        <w:t xml:space="preserve">  纤维均匀性检测筒：由硬质、光滑、平整的金属板制成，检测筒内径为150mm</w:t>
      </w:r>
      <w:r>
        <w:rPr>
          <w:rFonts w:hint="eastAsia"/>
          <w:color w:val="auto"/>
          <w:kern w:val="0"/>
          <w:szCs w:val="20"/>
          <w:highlight w:val="none"/>
          <w:lang w:eastAsia="zh"/>
          <w:woUserID w:val="2"/>
        </w:rPr>
        <w:t>，</w:t>
      </w:r>
      <w:r>
        <w:rPr>
          <w:rFonts w:hint="eastAsia"/>
          <w:color w:val="auto"/>
          <w:kern w:val="0"/>
          <w:szCs w:val="20"/>
          <w:highlight w:val="none"/>
        </w:rPr>
        <w:t>外径为166mm</w:t>
      </w:r>
      <w:r>
        <w:rPr>
          <w:rFonts w:hint="eastAsia"/>
          <w:color w:val="auto"/>
          <w:kern w:val="0"/>
          <w:szCs w:val="20"/>
          <w:highlight w:val="none"/>
          <w:lang w:eastAsia="zh"/>
          <w:woUserID w:val="2"/>
        </w:rPr>
        <w:t>，</w:t>
      </w:r>
      <w:r>
        <w:rPr>
          <w:rFonts w:hint="eastAsia"/>
          <w:color w:val="auto"/>
          <w:kern w:val="0"/>
          <w:szCs w:val="20"/>
          <w:highlight w:val="none"/>
        </w:rPr>
        <w:t>分三节，每节高度均为150mm</w:t>
      </w:r>
      <w:r>
        <w:rPr>
          <w:rFonts w:hint="eastAsia"/>
          <w:color w:val="auto"/>
          <w:kern w:val="0"/>
          <w:szCs w:val="20"/>
          <w:highlight w:val="none"/>
          <w:lang w:eastAsia="zh"/>
          <w:woUserID w:val="2"/>
        </w:rPr>
        <w:t>，</w:t>
      </w:r>
      <w:r>
        <w:rPr>
          <w:rFonts w:hint="eastAsia"/>
          <w:color w:val="auto"/>
          <w:kern w:val="0"/>
          <w:szCs w:val="20"/>
          <w:highlight w:val="none"/>
        </w:rPr>
        <w:t>并用活动扣件固定</w:t>
      </w:r>
      <w:r>
        <w:rPr>
          <w:rFonts w:hint="eastAsia"/>
          <w:color w:val="auto"/>
          <w:kern w:val="0"/>
          <w:szCs w:val="20"/>
          <w:highlight w:val="none"/>
          <w:lang w:eastAsia="zh"/>
          <w:woUserID w:val="2"/>
        </w:rPr>
        <w:t>，如图5.8.1</w:t>
      </w:r>
      <w:r>
        <w:rPr>
          <w:rFonts w:hint="eastAsia"/>
          <w:color w:val="auto"/>
          <w:kern w:val="0"/>
          <w:szCs w:val="20"/>
          <w:highlight w:val="none"/>
        </w:rPr>
        <w:t>。</w:t>
      </w:r>
    </w:p>
    <w:p w14:paraId="00229E63">
      <w:pPr>
        <w:widowControl/>
        <w:numPr>
          <w:ilvl w:val="0"/>
          <w:numId w:val="14"/>
        </w:numPr>
        <w:kinsoku/>
        <w:overflowPunct/>
        <w:bidi w:val="0"/>
        <w:spacing w:line="360" w:lineRule="auto"/>
        <w:ind w:firstLine="420" w:firstLineChars="200"/>
        <w:jc w:val="left"/>
        <w:rPr>
          <w:color w:val="auto"/>
          <w:kern w:val="0"/>
          <w:szCs w:val="20"/>
          <w:highlight w:val="none"/>
        </w:rPr>
      </w:pPr>
      <w:r>
        <w:rPr>
          <w:rFonts w:hint="eastAsia"/>
          <w:color w:val="auto"/>
          <w:kern w:val="0"/>
          <w:szCs w:val="20"/>
          <w:highlight w:val="none"/>
        </w:rPr>
        <w:t xml:space="preserve">  </w:t>
      </w:r>
      <w:r>
        <w:rPr>
          <w:rFonts w:hint="eastAsia"/>
          <w:color w:val="auto"/>
          <w:spacing w:val="3"/>
          <w:szCs w:val="21"/>
          <w:highlight w:val="none"/>
        </w:rPr>
        <w:t>跳桌：振幅为25mm±2mm。</w:t>
      </w:r>
    </w:p>
    <w:p w14:paraId="4B22DD4F">
      <w:pPr>
        <w:widowControl/>
        <w:numPr>
          <w:ilvl w:val="0"/>
          <w:numId w:val="14"/>
        </w:numPr>
        <w:kinsoku/>
        <w:overflowPunct/>
        <w:bidi w:val="0"/>
        <w:spacing w:line="360" w:lineRule="auto"/>
        <w:ind w:firstLine="420" w:firstLineChars="200"/>
        <w:jc w:val="left"/>
        <w:rPr>
          <w:color w:val="auto"/>
          <w:kern w:val="0"/>
          <w:szCs w:val="20"/>
          <w:highlight w:val="none"/>
        </w:rPr>
      </w:pPr>
      <w:r>
        <w:rPr>
          <w:rFonts w:hint="eastAsia"/>
          <w:color w:val="auto"/>
          <w:kern w:val="0"/>
          <w:szCs w:val="20"/>
          <w:highlight w:val="none"/>
        </w:rPr>
        <w:t xml:space="preserve">  电子天平：用于称量钢纤维的电子天平量程应大于1kg，感量不应大于1g。用于称量合成纤维的电子天平量程应大于100g，感量不应大于0.02g。</w:t>
      </w:r>
    </w:p>
    <w:p w14:paraId="1390F306">
      <w:pPr>
        <w:widowControl/>
        <w:numPr>
          <w:ilvl w:val="0"/>
          <w:numId w:val="14"/>
        </w:numPr>
        <w:kinsoku/>
        <w:overflowPunct/>
        <w:bidi w:val="0"/>
        <w:spacing w:line="360" w:lineRule="auto"/>
        <w:ind w:firstLine="432" w:firstLineChars="200"/>
        <w:jc w:val="left"/>
        <w:rPr>
          <w:color w:val="auto"/>
          <w:kern w:val="0"/>
          <w:szCs w:val="20"/>
          <w:highlight w:val="none"/>
        </w:rPr>
      </w:pPr>
      <w:r>
        <w:rPr>
          <w:rFonts w:hint="eastAsia"/>
          <w:color w:val="auto"/>
          <w:spacing w:val="3"/>
          <w:szCs w:val="21"/>
          <w:highlight w:val="none"/>
        </w:rPr>
        <w:t xml:space="preserve">  </w:t>
      </w:r>
      <w:r>
        <w:rPr>
          <w:color w:val="auto"/>
          <w:spacing w:val="1"/>
          <w:szCs w:val="21"/>
          <w:highlight w:val="none"/>
        </w:rPr>
        <w:t>不锈钢丝筛网：网孔尺寸应为2.5</w:t>
      </w:r>
      <w:r>
        <w:rPr>
          <w:color w:val="auto"/>
          <w:szCs w:val="21"/>
          <w:highlight w:val="none"/>
        </w:rPr>
        <w:t>mm</w:t>
      </w:r>
      <w:r>
        <w:rPr>
          <w:color w:val="auto"/>
          <w:spacing w:val="1"/>
          <w:szCs w:val="21"/>
          <w:highlight w:val="none"/>
        </w:rPr>
        <w:t>×2.5</w:t>
      </w:r>
      <w:r>
        <w:rPr>
          <w:color w:val="auto"/>
          <w:szCs w:val="21"/>
          <w:highlight w:val="none"/>
        </w:rPr>
        <w:t>mm</w:t>
      </w:r>
      <w:r>
        <w:rPr>
          <w:color w:val="auto"/>
          <w:spacing w:val="1"/>
          <w:szCs w:val="21"/>
          <w:highlight w:val="none"/>
        </w:rPr>
        <w:t>。</w:t>
      </w:r>
    </w:p>
    <w:p w14:paraId="3AC7EE71">
      <w:pPr>
        <w:widowControl/>
        <w:numPr>
          <w:ilvl w:val="0"/>
          <w:numId w:val="14"/>
        </w:numPr>
        <w:kinsoku/>
        <w:overflowPunct/>
        <w:bidi w:val="0"/>
        <w:spacing w:line="360" w:lineRule="auto"/>
        <w:ind w:firstLine="424" w:firstLineChars="200"/>
        <w:jc w:val="left"/>
        <w:rPr>
          <w:color w:val="auto"/>
          <w:kern w:val="0"/>
          <w:szCs w:val="20"/>
          <w:highlight w:val="none"/>
        </w:rPr>
      </w:pPr>
      <w:r>
        <w:rPr>
          <w:rFonts w:hint="eastAsia"/>
          <w:color w:val="auto"/>
          <w:spacing w:val="1"/>
          <w:szCs w:val="21"/>
          <w:highlight w:val="none"/>
        </w:rPr>
        <w:t xml:space="preserve">  </w:t>
      </w:r>
      <w:r>
        <w:rPr>
          <w:rFonts w:hint="eastAsia"/>
          <w:color w:val="auto"/>
          <w:spacing w:val="-1"/>
          <w:szCs w:val="21"/>
          <w:highlight w:val="none"/>
        </w:rPr>
        <w:t>工具</w:t>
      </w:r>
      <w:r>
        <w:rPr>
          <w:color w:val="auto"/>
          <w:spacing w:val="-1"/>
          <w:szCs w:val="21"/>
          <w:highlight w:val="none"/>
        </w:rPr>
        <w:t>：</w:t>
      </w:r>
      <w:r>
        <w:rPr>
          <w:rFonts w:hint="eastAsia"/>
          <w:color w:val="auto"/>
          <w:spacing w:val="-1"/>
          <w:szCs w:val="21"/>
          <w:highlight w:val="none"/>
        </w:rPr>
        <w:t>秒表、</w:t>
      </w:r>
      <w:r>
        <w:rPr>
          <w:color w:val="auto"/>
          <w:spacing w:val="-1"/>
          <w:szCs w:val="21"/>
          <w:highlight w:val="none"/>
        </w:rPr>
        <w:t>橡皮锤、</w:t>
      </w:r>
      <w:r>
        <w:rPr>
          <w:rFonts w:hint="eastAsia"/>
          <w:color w:val="auto"/>
          <w:spacing w:val="-1"/>
          <w:szCs w:val="21"/>
          <w:highlight w:val="none"/>
        </w:rPr>
        <w:t>大容器、</w:t>
      </w:r>
      <w:r>
        <w:rPr>
          <w:color w:val="auto"/>
          <w:spacing w:val="-1"/>
          <w:szCs w:val="21"/>
          <w:highlight w:val="none"/>
        </w:rPr>
        <w:t>铁铲、磁铁。</w:t>
      </w:r>
    </w:p>
    <w:p w14:paraId="0218C831">
      <w:pPr>
        <w:widowControl/>
        <w:kinsoku/>
        <w:overflowPunct/>
        <w:bidi w:val="0"/>
        <w:spacing w:line="360" w:lineRule="auto"/>
        <w:jc w:val="center"/>
        <w:rPr>
          <w:rFonts w:hint="eastAsia"/>
          <w:color w:val="auto"/>
          <w:kern w:val="0"/>
          <w:szCs w:val="20"/>
          <w:highlight w:val="none"/>
          <w:woUserID w:val="2"/>
        </w:rPr>
      </w:pPr>
    </w:p>
    <w:p w14:paraId="231346E9">
      <w:pPr>
        <w:widowControl/>
        <w:kinsoku/>
        <w:overflowPunct/>
        <w:bidi w:val="0"/>
        <w:spacing w:line="360" w:lineRule="auto"/>
        <w:jc w:val="center"/>
        <w:rPr>
          <w:rFonts w:hint="eastAsia" w:eastAsia="宋体"/>
          <w:color w:val="auto"/>
          <w:kern w:val="0"/>
          <w:szCs w:val="20"/>
          <w:highlight w:val="none"/>
          <w:lang w:eastAsia="zh"/>
        </w:rPr>
      </w:pPr>
      <w:r>
        <w:rPr>
          <w:rFonts w:hint="eastAsia" w:eastAsia="宋体"/>
          <w:color w:val="auto"/>
          <w:kern w:val="0"/>
          <w:szCs w:val="20"/>
          <w:highlight w:val="none"/>
          <w:lang w:eastAsia="zh"/>
        </w:rPr>
        <w:drawing>
          <wp:inline distT="0" distB="0" distL="114300" distR="114300">
            <wp:extent cx="1685925" cy="2884805"/>
            <wp:effectExtent l="0" t="0" r="9525" b="1079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32"/>
                    <a:srcRect r="53985" b="1607"/>
                    <a:stretch>
                      <a:fillRect/>
                    </a:stretch>
                  </pic:blipFill>
                  <pic:spPr>
                    <a:xfrm>
                      <a:off x="0" y="0"/>
                      <a:ext cx="1685925" cy="2884805"/>
                    </a:xfrm>
                    <a:prstGeom prst="rect">
                      <a:avLst/>
                    </a:prstGeom>
                  </pic:spPr>
                </pic:pic>
              </a:graphicData>
            </a:graphic>
          </wp:inline>
        </w:drawing>
      </w:r>
    </w:p>
    <w:p w14:paraId="463973A1">
      <w:pPr>
        <w:widowControl/>
        <w:kinsoku/>
        <w:overflowPunct/>
        <w:bidi w:val="0"/>
        <w:spacing w:line="360" w:lineRule="auto"/>
        <w:jc w:val="center"/>
        <w:rPr>
          <w:rFonts w:hint="eastAsia" w:eastAsia="宋体"/>
          <w:color w:val="auto"/>
          <w:kern w:val="0"/>
          <w:szCs w:val="20"/>
          <w:highlight w:val="none"/>
          <w:lang w:eastAsia="zh"/>
          <w:woUserID w:val="2"/>
        </w:rPr>
      </w:pPr>
      <w:r>
        <w:rPr>
          <w:rFonts w:hint="eastAsia"/>
          <w:color w:val="auto"/>
          <w:kern w:val="0"/>
          <w:szCs w:val="20"/>
          <w:highlight w:val="none"/>
          <w:lang w:eastAsia="zh"/>
          <w:woUserID w:val="2"/>
        </w:rPr>
        <w:t>图5.8.1 纤维均匀性检测筒（mm）</w:t>
      </w:r>
    </w:p>
    <w:p w14:paraId="359414AA">
      <w:pPr>
        <w:kinsoku/>
        <w:overflowPunct/>
        <w:bidi w:val="0"/>
        <w:spacing w:line="360" w:lineRule="auto"/>
        <w:outlineLvl w:val="9"/>
        <w:rPr>
          <w:color w:val="auto"/>
          <w:highlight w:val="none"/>
        </w:rPr>
      </w:pPr>
      <w:r>
        <w:rPr>
          <w:rFonts w:hint="eastAsia"/>
          <w:color w:val="auto"/>
          <w:highlight w:val="none"/>
          <w:lang w:val="en-US" w:eastAsia="zh-CN"/>
        </w:rPr>
        <w:t>3</w:t>
      </w:r>
      <w:r>
        <w:rPr>
          <w:color w:val="auto"/>
          <w:highlight w:val="none"/>
        </w:rPr>
        <w:t xml:space="preserve"> </w:t>
      </w:r>
      <w:r>
        <w:rPr>
          <w:rFonts w:hint="eastAsia"/>
          <w:color w:val="auto"/>
          <w:highlight w:val="none"/>
        </w:rPr>
        <w:t>试验步骤</w:t>
      </w:r>
    </w:p>
    <w:p w14:paraId="0CE98432">
      <w:pPr>
        <w:widowControl/>
        <w:kinsoku/>
        <w:overflowPunct/>
        <w:bidi w:val="0"/>
        <w:spacing w:line="360" w:lineRule="auto"/>
        <w:ind w:firstLine="420" w:firstLineChars="200"/>
        <w:jc w:val="left"/>
        <w:rPr>
          <w:color w:val="auto"/>
          <w:kern w:val="0"/>
          <w:szCs w:val="20"/>
          <w:highlight w:val="none"/>
        </w:rPr>
      </w:pPr>
      <w:r>
        <w:rPr>
          <w:rFonts w:hint="eastAsia"/>
          <w:color w:val="auto"/>
          <w:kern w:val="0"/>
          <w:szCs w:val="20"/>
          <w:highlight w:val="none"/>
        </w:rPr>
        <w:t xml:space="preserve">1 </w:t>
      </w:r>
      <w:r>
        <w:rPr>
          <w:color w:val="auto"/>
          <w:spacing w:val="3"/>
          <w:szCs w:val="21"/>
          <w:highlight w:val="none"/>
        </w:rPr>
        <w:t>将超高性能混凝土拌合物一次性灌至高出</w:t>
      </w:r>
      <w:r>
        <w:rPr>
          <w:rFonts w:hint="eastAsia"/>
          <w:color w:val="auto"/>
          <w:kern w:val="0"/>
          <w:szCs w:val="20"/>
          <w:highlight w:val="none"/>
        </w:rPr>
        <w:t>纤维均匀性检测筒</w:t>
      </w:r>
      <w:r>
        <w:rPr>
          <w:color w:val="auto"/>
          <w:spacing w:val="3"/>
          <w:szCs w:val="21"/>
          <w:highlight w:val="none"/>
        </w:rPr>
        <w:t>口，装</w:t>
      </w:r>
      <w:r>
        <w:rPr>
          <w:color w:val="auto"/>
          <w:spacing w:val="-1"/>
          <w:szCs w:val="21"/>
          <w:highlight w:val="none"/>
        </w:rPr>
        <w:t>完后用橡皮锤轻轻敲击筒壁使拌合物密实，不得进行插捣。对于</w:t>
      </w:r>
      <w:r>
        <w:rPr>
          <w:color w:val="auto"/>
          <w:spacing w:val="5"/>
          <w:szCs w:val="21"/>
          <w:highlight w:val="none"/>
        </w:rPr>
        <w:t>扩展度小于650</w:t>
      </w:r>
      <w:r>
        <w:rPr>
          <w:rFonts w:eastAsia="Times New Roman"/>
          <w:color w:val="auto"/>
          <w:szCs w:val="21"/>
          <w:highlight w:val="none"/>
        </w:rPr>
        <w:t>mm</w:t>
      </w:r>
      <w:r>
        <w:rPr>
          <w:color w:val="auto"/>
          <w:spacing w:val="5"/>
          <w:szCs w:val="21"/>
          <w:highlight w:val="none"/>
        </w:rPr>
        <w:t>的超高性能混凝土拌合物，</w:t>
      </w:r>
      <w:r>
        <w:rPr>
          <w:color w:val="auto"/>
          <w:spacing w:val="4"/>
          <w:szCs w:val="21"/>
          <w:highlight w:val="none"/>
        </w:rPr>
        <w:t>可根据需要用振</w:t>
      </w:r>
      <w:r>
        <w:rPr>
          <w:color w:val="auto"/>
          <w:spacing w:val="-3"/>
          <w:szCs w:val="21"/>
          <w:highlight w:val="none"/>
        </w:rPr>
        <w:t>动台振实。</w:t>
      </w:r>
      <w:r>
        <w:rPr>
          <w:color w:val="auto"/>
          <w:spacing w:val="-4"/>
          <w:szCs w:val="21"/>
          <w:highlight w:val="none"/>
        </w:rPr>
        <w:t>刮去多余拌合物，将表面抹平。</w:t>
      </w:r>
    </w:p>
    <w:p w14:paraId="75811BBF">
      <w:pPr>
        <w:widowControl/>
        <w:kinsoku/>
        <w:overflowPunct/>
        <w:bidi w:val="0"/>
        <w:spacing w:line="360" w:lineRule="auto"/>
        <w:ind w:firstLine="420" w:firstLineChars="200"/>
        <w:jc w:val="left"/>
        <w:rPr>
          <w:color w:val="auto"/>
          <w:kern w:val="0"/>
          <w:szCs w:val="20"/>
          <w:highlight w:val="none"/>
        </w:rPr>
      </w:pPr>
      <w:r>
        <w:rPr>
          <w:rFonts w:hint="eastAsia"/>
          <w:color w:val="auto"/>
          <w:kern w:val="0"/>
          <w:szCs w:val="20"/>
          <w:highlight w:val="none"/>
        </w:rPr>
        <w:t>2 将稳定性检测筒放置在跳桌上，使跳桌跳动25次。</w:t>
      </w:r>
    </w:p>
    <w:p w14:paraId="75126751">
      <w:pPr>
        <w:widowControl/>
        <w:kinsoku/>
        <w:overflowPunct/>
        <w:bidi w:val="0"/>
        <w:spacing w:line="360" w:lineRule="auto"/>
        <w:ind w:firstLine="408" w:firstLineChars="200"/>
        <w:jc w:val="left"/>
        <w:rPr>
          <w:color w:val="auto"/>
          <w:spacing w:val="-3"/>
          <w:szCs w:val="21"/>
          <w:highlight w:val="none"/>
        </w:rPr>
      </w:pPr>
      <w:r>
        <w:rPr>
          <w:rFonts w:hint="eastAsia"/>
          <w:color w:val="auto"/>
          <w:spacing w:val="-3"/>
          <w:szCs w:val="21"/>
          <w:highlight w:val="none"/>
        </w:rPr>
        <w:t xml:space="preserve">3 </w:t>
      </w:r>
      <w:r>
        <w:rPr>
          <w:rFonts w:hint="eastAsia"/>
          <w:color w:val="auto"/>
          <w:kern w:val="0"/>
          <w:szCs w:val="20"/>
          <w:highlight w:val="none"/>
        </w:rPr>
        <w:t>分节拆除</w:t>
      </w:r>
      <w:r>
        <w:rPr>
          <w:rFonts w:hint="eastAsia"/>
          <w:color w:val="auto"/>
          <w:kern w:val="0"/>
          <w:szCs w:val="20"/>
          <w:highlight w:val="none"/>
          <w:lang w:eastAsia="zh"/>
          <w:woUserID w:val="2"/>
        </w:rPr>
        <w:t>均匀</w:t>
      </w:r>
      <w:r>
        <w:rPr>
          <w:rFonts w:hint="eastAsia"/>
          <w:color w:val="auto"/>
          <w:kern w:val="0"/>
          <w:szCs w:val="20"/>
          <w:highlight w:val="none"/>
        </w:rPr>
        <w:t>性检测筒，并将每节筒内</w:t>
      </w:r>
      <w:r>
        <w:rPr>
          <w:rFonts w:hint="eastAsia"/>
          <w:color w:val="auto"/>
          <w:kern w:val="0"/>
          <w:szCs w:val="20"/>
          <w:highlight w:val="none"/>
          <w:lang w:eastAsia="zh-CN"/>
        </w:rPr>
        <w:t>拌合物</w:t>
      </w:r>
      <w:r>
        <w:rPr>
          <w:color w:val="auto"/>
          <w:spacing w:val="4"/>
          <w:szCs w:val="21"/>
          <w:highlight w:val="none"/>
        </w:rPr>
        <w:t>倒入不小于10倍拌合物体积的大容器中</w:t>
      </w:r>
      <w:r>
        <w:rPr>
          <w:color w:val="auto"/>
          <w:spacing w:val="3"/>
          <w:szCs w:val="21"/>
          <w:highlight w:val="none"/>
        </w:rPr>
        <w:t>，加水</w:t>
      </w:r>
      <w:r>
        <w:rPr>
          <w:color w:val="auto"/>
          <w:szCs w:val="21"/>
          <w:highlight w:val="none"/>
        </w:rPr>
        <w:t>搅拌。对于</w:t>
      </w:r>
      <w:r>
        <w:rPr>
          <w:rFonts w:hint="eastAsia"/>
          <w:color w:val="auto"/>
          <w:szCs w:val="21"/>
          <w:highlight w:val="none"/>
          <w:lang w:eastAsia="zh"/>
          <w:woUserID w:val="2"/>
        </w:rPr>
        <w:t>掺</w:t>
      </w:r>
      <w:r>
        <w:rPr>
          <w:color w:val="auto"/>
          <w:szCs w:val="21"/>
          <w:highlight w:val="none"/>
        </w:rPr>
        <w:t>钢纤维的超高性能混凝土拌合</w:t>
      </w:r>
      <w:r>
        <w:rPr>
          <w:color w:val="auto"/>
          <w:spacing w:val="-1"/>
          <w:szCs w:val="21"/>
          <w:highlight w:val="none"/>
        </w:rPr>
        <w:t>物，可将稀浆慢慢倒</w:t>
      </w:r>
      <w:r>
        <w:rPr>
          <w:color w:val="auto"/>
          <w:szCs w:val="21"/>
          <w:highlight w:val="none"/>
        </w:rPr>
        <w:t>出，应在所余的</w:t>
      </w:r>
      <w:r>
        <w:rPr>
          <w:rFonts w:hint="eastAsia"/>
          <w:color w:val="auto"/>
          <w:szCs w:val="21"/>
          <w:highlight w:val="none"/>
          <w:lang w:eastAsia="zh"/>
          <w:woUserID w:val="2"/>
        </w:rPr>
        <w:t>细</w:t>
      </w:r>
      <w:r>
        <w:rPr>
          <w:color w:val="auto"/>
          <w:szCs w:val="21"/>
          <w:highlight w:val="none"/>
        </w:rPr>
        <w:t>骨料及钢纤维残渣中用磁铁搜</w:t>
      </w:r>
      <w:r>
        <w:rPr>
          <w:color w:val="auto"/>
          <w:spacing w:val="-1"/>
          <w:szCs w:val="21"/>
          <w:highlight w:val="none"/>
        </w:rPr>
        <w:t>集钢纤维，并仔细</w:t>
      </w:r>
      <w:r>
        <w:rPr>
          <w:color w:val="auto"/>
          <w:spacing w:val="2"/>
          <w:szCs w:val="21"/>
          <w:highlight w:val="none"/>
        </w:rPr>
        <w:t>洗净粘附在钢纤维上的异物。对于合成纤维可用筛网收集</w:t>
      </w:r>
      <w:r>
        <w:rPr>
          <w:color w:val="auto"/>
          <w:spacing w:val="1"/>
          <w:szCs w:val="21"/>
          <w:highlight w:val="none"/>
        </w:rPr>
        <w:t>纤维，</w:t>
      </w:r>
      <w:r>
        <w:rPr>
          <w:color w:val="auto"/>
          <w:spacing w:val="-3"/>
          <w:szCs w:val="21"/>
          <w:highlight w:val="none"/>
        </w:rPr>
        <w:t>并仔细洗净粘附在纤维上的异物。</w:t>
      </w:r>
    </w:p>
    <w:p w14:paraId="5E129538">
      <w:pPr>
        <w:widowControl/>
        <w:kinsoku/>
        <w:overflowPunct/>
        <w:bidi w:val="0"/>
        <w:spacing w:line="360" w:lineRule="auto"/>
        <w:ind w:firstLine="408" w:firstLineChars="200"/>
        <w:jc w:val="left"/>
        <w:rPr>
          <w:rFonts w:hint="eastAsia"/>
          <w:color w:val="auto"/>
          <w:spacing w:val="-3"/>
          <w:szCs w:val="21"/>
          <w:highlight w:val="none"/>
        </w:rPr>
      </w:pPr>
      <w:r>
        <w:rPr>
          <w:rFonts w:hint="eastAsia"/>
          <w:color w:val="auto"/>
          <w:spacing w:val="-3"/>
          <w:szCs w:val="21"/>
          <w:highlight w:val="none"/>
        </w:rPr>
        <w:t>4 收集的纤维应在105℃±5℃的温度下烘干至恒重，烘干时间不应少于4h，每隔1h称量一次，直到连续两次称量之差小于较小值0.5%时为止。冷却至室温后应称其重量，钢纤维应精确至1g，合成纤维应精确至0.02g。</w:t>
      </w:r>
    </w:p>
    <w:p w14:paraId="10F14A49">
      <w:pPr>
        <w:widowControl/>
        <w:kinsoku/>
        <w:overflowPunct/>
        <w:bidi w:val="0"/>
        <w:spacing w:line="360" w:lineRule="auto"/>
        <w:ind w:firstLine="408" w:firstLineChars="200"/>
        <w:jc w:val="left"/>
        <w:rPr>
          <w:rFonts w:hint="default" w:eastAsia="宋体"/>
          <w:color w:val="auto"/>
          <w:spacing w:val="-3"/>
          <w:szCs w:val="21"/>
          <w:highlight w:val="none"/>
          <w:lang w:val="en-US" w:eastAsia="zh-CN"/>
        </w:rPr>
      </w:pPr>
      <w:r>
        <w:rPr>
          <w:rFonts w:hint="eastAsia"/>
          <w:color w:val="auto"/>
          <w:spacing w:val="-3"/>
          <w:szCs w:val="21"/>
          <w:highlight w:val="none"/>
          <w:lang w:val="en-US" w:eastAsia="zh-CN"/>
        </w:rPr>
        <w:t>5 当纤维不易分离时，可先进行拌合物加水清洗，收集细骨料及纤维，烘干后再进行细骨料与纤维分离，收集纤维，再进行烘干称重。</w:t>
      </w:r>
    </w:p>
    <w:p w14:paraId="73BFC70D">
      <w:pPr>
        <w:widowControl/>
        <w:kinsoku/>
        <w:overflowPunct/>
        <w:bidi w:val="0"/>
        <w:spacing w:line="360" w:lineRule="auto"/>
        <w:ind w:firstLine="408" w:firstLineChars="200"/>
        <w:jc w:val="left"/>
        <w:rPr>
          <w:rFonts w:hint="eastAsia"/>
          <w:color w:val="auto"/>
          <w:spacing w:val="-3"/>
          <w:szCs w:val="21"/>
          <w:highlight w:val="none"/>
        </w:rPr>
      </w:pPr>
    </w:p>
    <w:p w14:paraId="09F37CDC">
      <w:pPr>
        <w:kinsoku/>
        <w:overflowPunct/>
        <w:bidi w:val="0"/>
        <w:spacing w:line="360" w:lineRule="auto"/>
        <w:outlineLvl w:val="9"/>
        <w:rPr>
          <w:color w:val="auto"/>
          <w:highlight w:val="none"/>
        </w:rPr>
      </w:pPr>
      <w:r>
        <w:rPr>
          <w:rFonts w:hint="eastAsia"/>
          <w:color w:val="auto"/>
          <w:highlight w:val="none"/>
          <w:lang w:val="en-US" w:eastAsia="zh-CN"/>
        </w:rPr>
        <w:t>4</w:t>
      </w:r>
      <w:r>
        <w:rPr>
          <w:color w:val="auto"/>
          <w:highlight w:val="none"/>
        </w:rPr>
        <w:t xml:space="preserve"> </w:t>
      </w:r>
      <w:r>
        <w:rPr>
          <w:rFonts w:hint="eastAsia"/>
          <w:color w:val="auto"/>
          <w:highlight w:val="none"/>
        </w:rPr>
        <w:t>结果计算</w:t>
      </w:r>
    </w:p>
    <w:p w14:paraId="5D09AC88">
      <w:pPr>
        <w:widowControl/>
        <w:kinsoku/>
        <w:overflowPunct/>
        <w:bidi w:val="0"/>
        <w:spacing w:line="360" w:lineRule="auto"/>
        <w:ind w:firstLine="420" w:firstLineChars="200"/>
        <w:jc w:val="left"/>
        <w:rPr>
          <w:color w:val="auto"/>
          <w:kern w:val="0"/>
          <w:szCs w:val="20"/>
          <w:highlight w:val="none"/>
        </w:rPr>
      </w:pPr>
      <w:r>
        <w:rPr>
          <w:rFonts w:hint="eastAsia"/>
          <w:color w:val="auto"/>
          <w:kern w:val="0"/>
          <w:szCs w:val="20"/>
          <w:highlight w:val="none"/>
        </w:rPr>
        <w:t>1纤维分布均匀性系数应按下式计算：</w:t>
      </w:r>
    </w:p>
    <w:p w14:paraId="572CC87A">
      <w:pPr>
        <w:widowControl/>
        <w:kinsoku/>
        <w:overflowPunct/>
        <w:bidi w:val="0"/>
        <w:spacing w:line="360" w:lineRule="auto"/>
        <w:jc w:val="center"/>
        <w:rPr>
          <w:color w:val="auto"/>
          <w:position w:val="-17"/>
          <w:sz w:val="18"/>
          <w:szCs w:val="18"/>
          <w:highlight w:val="none"/>
        </w:rPr>
      </w:pPr>
      <w:r>
        <w:rPr>
          <w:color w:val="auto"/>
          <w:position w:val="-30"/>
          <w:sz w:val="18"/>
          <w:szCs w:val="18"/>
          <w:highlight w:val="none"/>
        </w:rPr>
        <w:object>
          <v:shape id="_x0000_i1034" o:spt="75" type="#_x0000_t75" style="height:34.25pt;width:133.1pt;" o:ole="t" filled="f" o:preferrelative="t" stroked="f" coordsize="21600,21600">
            <v:path/>
            <v:fill on="f" focussize="0,0"/>
            <v:stroke on="f" joinstyle="miter"/>
            <v:imagedata r:id="rId34" o:title=""/>
            <o:lock v:ext="edit" aspectratio="t"/>
            <w10:wrap type="none"/>
            <w10:anchorlock/>
          </v:shape>
          <o:OLEObject Type="Embed" ProgID="Equation.3" ShapeID="_x0000_i1034" DrawAspect="Content" ObjectID="_1468075734" r:id="rId33">
            <o:LockedField>false</o:LockedField>
          </o:OLEObject>
        </w:object>
      </w:r>
    </w:p>
    <w:p w14:paraId="6C13DFD0">
      <w:pPr>
        <w:kinsoku/>
        <w:overflowPunct/>
        <w:bidi w:val="0"/>
        <w:spacing w:before="95" w:line="360" w:lineRule="auto"/>
        <w:ind w:left="9"/>
        <w:rPr>
          <w:color w:val="auto"/>
          <w:spacing w:val="-3"/>
          <w:szCs w:val="21"/>
          <w:highlight w:val="none"/>
        </w:rPr>
      </w:pPr>
      <w:r>
        <w:rPr>
          <w:rFonts w:hint="eastAsia"/>
          <w:color w:val="auto"/>
          <w:spacing w:val="-3"/>
          <w:szCs w:val="21"/>
          <w:highlight w:val="none"/>
        </w:rPr>
        <w:t>式中：</w:t>
      </w:r>
      <w:r>
        <w:rPr>
          <w:color w:val="auto"/>
          <w:spacing w:val="-3"/>
          <w:position w:val="-10"/>
          <w:szCs w:val="21"/>
          <w:highlight w:val="none"/>
        </w:rPr>
        <w:object>
          <v:shape id="_x0000_i1035" o:spt="75" type="#_x0000_t75" style="height:16.75pt;width:15.95pt;" o:ole="t" filled="f" o:preferrelative="t" stroked="f" coordsize="21600,21600">
            <v:path/>
            <v:fill on="f" focussize="0,0"/>
            <v:stroke on="f" joinstyle="miter"/>
            <v:imagedata r:id="rId36" o:title=""/>
            <o:lock v:ext="edit" aspectratio="t"/>
            <w10:wrap type="none"/>
            <w10:anchorlock/>
          </v:shape>
          <o:OLEObject Type="Embed" ProgID="Equation.3" ShapeID="_x0000_i1035" DrawAspect="Content" ObjectID="_1468075735" r:id="rId35">
            <o:LockedField>false</o:LockedField>
          </o:OLEObject>
        </w:object>
      </w:r>
      <w:r>
        <w:rPr>
          <w:rFonts w:eastAsia="Times New Roman"/>
          <w:color w:val="auto"/>
          <w:spacing w:val="-3"/>
          <w:szCs w:val="21"/>
          <w:highlight w:val="none"/>
        </w:rPr>
        <w:t>——</w:t>
      </w:r>
      <w:r>
        <w:rPr>
          <w:rFonts w:hint="eastAsia"/>
          <w:color w:val="auto"/>
          <w:spacing w:val="-3"/>
          <w:szCs w:val="21"/>
          <w:highlight w:val="none"/>
        </w:rPr>
        <w:t>超高性能混凝土的</w:t>
      </w:r>
      <w:r>
        <w:rPr>
          <w:rFonts w:hint="eastAsia" w:ascii="宋体" w:hAnsi="宋体"/>
          <w:color w:val="auto"/>
          <w:kern w:val="0"/>
          <w:szCs w:val="20"/>
          <w:highlight w:val="none"/>
        </w:rPr>
        <w:t>纤维分布均匀性系数</w:t>
      </w:r>
      <w:r>
        <w:rPr>
          <w:rFonts w:hint="eastAsia"/>
          <w:color w:val="auto"/>
          <w:spacing w:val="-3"/>
          <w:szCs w:val="21"/>
          <w:highlight w:val="none"/>
        </w:rPr>
        <w:t>；</w:t>
      </w:r>
    </w:p>
    <w:p w14:paraId="517E1331">
      <w:pPr>
        <w:kinsoku/>
        <w:overflowPunct/>
        <w:bidi w:val="0"/>
        <w:spacing w:before="95" w:line="360" w:lineRule="auto"/>
        <w:ind w:left="0" w:firstLine="0" w:firstLineChars="0"/>
        <w:rPr>
          <w:color w:val="auto"/>
          <w:spacing w:val="-3"/>
          <w:szCs w:val="21"/>
          <w:highlight w:val="none"/>
        </w:rPr>
      </w:pPr>
      <w:r>
        <w:rPr>
          <w:rFonts w:hint="eastAsia"/>
          <w:color w:val="auto"/>
          <w:spacing w:val="-3"/>
          <w:position w:val="-12"/>
          <w:szCs w:val="21"/>
          <w:highlight w:val="none"/>
          <w:lang w:eastAsia="zh"/>
          <w:woUserID w:val="2"/>
        </w:rPr>
        <w:t xml:space="preserve">      </w:t>
      </w:r>
      <w:r>
        <w:rPr>
          <w:color w:val="auto"/>
          <w:spacing w:val="-3"/>
          <w:position w:val="-12"/>
          <w:szCs w:val="21"/>
          <w:highlight w:val="none"/>
        </w:rPr>
        <w:object>
          <v:shape id="_x0000_i1036" o:spt="75" type="#_x0000_t75" style="height:18.3pt;width:73.15pt;" o:ole="t" filled="f" o:preferrelative="t" stroked="f" coordsize="21600,21600">
            <v:path/>
            <v:fill on="f" focussize="0,0"/>
            <v:stroke on="f" joinstyle="miter"/>
            <v:imagedata r:id="rId38" o:title=""/>
            <o:lock v:ext="edit" aspectratio="t"/>
            <w10:wrap type="none"/>
            <w10:anchorlock/>
          </v:shape>
          <o:OLEObject Type="Embed" ProgID="Equation.3" ShapeID="_x0000_i1036" DrawAspect="Content" ObjectID="_1468075736" r:id="rId37">
            <o:LockedField>false</o:LockedField>
          </o:OLEObject>
        </w:object>
      </w:r>
      <w:r>
        <w:rPr>
          <w:rFonts w:eastAsia="Times New Roman"/>
          <w:color w:val="auto"/>
          <w:spacing w:val="-3"/>
          <w:szCs w:val="21"/>
          <w:highlight w:val="none"/>
        </w:rPr>
        <w:t>——</w:t>
      </w:r>
      <w:r>
        <w:rPr>
          <w:rFonts w:hint="eastAsia"/>
          <w:color w:val="auto"/>
          <w:spacing w:val="-3"/>
          <w:szCs w:val="21"/>
          <w:highlight w:val="none"/>
        </w:rPr>
        <w:t>分别为上、中、下三段拌合物中纤维的质量 (g)；</w:t>
      </w:r>
    </w:p>
    <w:p w14:paraId="6CB3168A">
      <w:pPr>
        <w:kinsoku/>
        <w:overflowPunct/>
        <w:bidi w:val="0"/>
        <w:spacing w:before="68" w:line="360" w:lineRule="auto"/>
        <w:ind w:left="629"/>
        <w:rPr>
          <w:color w:val="auto"/>
          <w:szCs w:val="21"/>
          <w:highlight w:val="none"/>
        </w:rPr>
      </w:pPr>
      <w:r>
        <w:rPr>
          <w:color w:val="auto"/>
          <w:spacing w:val="-3"/>
          <w:position w:val="-10"/>
          <w:szCs w:val="21"/>
          <w:highlight w:val="none"/>
        </w:rPr>
        <w:object>
          <v:shape id="_x0000_i1037" o:spt="75" type="#_x0000_t75" style="height:19.05pt;width:18.3pt;" o:ole="t" filled="f" o:preferrelative="t" stroked="f" coordsize="21600,21600">
            <v:path/>
            <v:fill on="f" focussize="0,0"/>
            <v:stroke on="f" joinstyle="miter"/>
            <v:imagedata r:id="rId40" o:title=""/>
            <o:lock v:ext="edit" aspectratio="t"/>
            <w10:wrap type="none"/>
            <w10:anchorlock/>
          </v:shape>
          <o:OLEObject Type="Embed" ProgID="Equation.3" ShapeID="_x0000_i1037" DrawAspect="Content" ObjectID="_1468075737" r:id="rId39">
            <o:LockedField>false</o:LockedField>
          </o:OLEObject>
        </w:object>
      </w:r>
      <w:r>
        <w:rPr>
          <w:rFonts w:eastAsia="Times New Roman"/>
          <w:color w:val="auto"/>
          <w:szCs w:val="21"/>
          <w:highlight w:val="none"/>
        </w:rPr>
        <w:t>——</w:t>
      </w:r>
      <w:r>
        <w:rPr>
          <w:rFonts w:hint="eastAsia" w:ascii="宋体" w:hAnsi="宋体" w:cs="宋体"/>
          <w:color w:val="auto"/>
          <w:szCs w:val="21"/>
          <w:highlight w:val="none"/>
        </w:rPr>
        <w:t>三段拌合物中纤维的平均质量</w:t>
      </w:r>
      <w:r>
        <w:rPr>
          <w:rFonts w:hint="eastAsia"/>
          <w:color w:val="auto"/>
          <w:spacing w:val="-3"/>
          <w:szCs w:val="21"/>
          <w:highlight w:val="none"/>
        </w:rPr>
        <w:t xml:space="preserve"> (g)</w:t>
      </w:r>
      <w:r>
        <w:rPr>
          <w:rFonts w:hint="eastAsia"/>
          <w:color w:val="auto"/>
          <w:szCs w:val="21"/>
          <w:highlight w:val="none"/>
        </w:rPr>
        <w:t>；</w:t>
      </w:r>
    </w:p>
    <w:p w14:paraId="2D74A0DF">
      <w:pPr>
        <w:kinsoku/>
        <w:overflowPunct/>
        <w:bidi w:val="0"/>
        <w:spacing w:line="360" w:lineRule="auto"/>
        <w:ind w:firstLine="420" w:firstLineChars="200"/>
        <w:rPr>
          <w:color w:val="auto"/>
          <w:highlight w:val="none"/>
        </w:rPr>
      </w:pPr>
      <w:r>
        <w:rPr>
          <w:rFonts w:hint="eastAsia"/>
          <w:color w:val="auto"/>
          <w:highlight w:val="none"/>
        </w:rPr>
        <w:t xml:space="preserve">2 </w:t>
      </w:r>
      <w:r>
        <w:rPr>
          <w:color w:val="auto"/>
          <w:highlight w:val="none"/>
        </w:rPr>
        <w:t>纤维分布均匀性系数的</w:t>
      </w:r>
      <w:r>
        <w:rPr>
          <w:rFonts w:hint="eastAsia"/>
          <w:color w:val="auto"/>
          <w:highlight w:val="none"/>
        </w:rPr>
        <w:t>试验结果</w:t>
      </w:r>
      <w:r>
        <w:rPr>
          <w:color w:val="auto"/>
          <w:highlight w:val="none"/>
        </w:rPr>
        <w:t>应为纤维分布均匀性系数两次测定值的平均值。</w:t>
      </w:r>
    </w:p>
    <w:p w14:paraId="6E4C64D9">
      <w:pPr>
        <w:kinsoku/>
        <w:overflowPunct/>
        <w:bidi w:val="0"/>
        <w:spacing w:line="360" w:lineRule="auto"/>
        <w:rPr>
          <w:b/>
          <w:bCs/>
          <w:color w:val="auto"/>
          <w:highlight w:val="none"/>
        </w:rPr>
      </w:pPr>
      <w:r>
        <w:rPr>
          <w:rFonts w:hint="eastAsia"/>
          <w:b/>
          <w:bCs/>
          <w:color w:val="auto"/>
          <w:highlight w:val="none"/>
        </w:rPr>
        <w:t>5.8.2 L型箱法</w:t>
      </w:r>
    </w:p>
    <w:p w14:paraId="03C5D0DF">
      <w:pPr>
        <w:kinsoku/>
        <w:overflowPunct/>
        <w:bidi w:val="0"/>
        <w:spacing w:line="360" w:lineRule="auto"/>
        <w:rPr>
          <w:color w:val="auto"/>
          <w:highlight w:val="none"/>
        </w:rPr>
      </w:pPr>
      <w:r>
        <w:rPr>
          <w:rFonts w:hint="eastAsia"/>
          <w:color w:val="auto"/>
          <w:highlight w:val="none"/>
        </w:rPr>
        <w:t>1本方法用</w:t>
      </w:r>
      <w:r>
        <w:rPr>
          <w:rFonts w:hint="eastAsia"/>
          <w:color w:val="auto"/>
          <w:highlight w:val="none"/>
          <w:lang w:val="en-US" w:eastAsia="zh-CN"/>
        </w:rPr>
        <w:t>于</w:t>
      </w:r>
      <w:r>
        <w:rPr>
          <w:rFonts w:hint="eastAsia"/>
          <w:color w:val="auto"/>
          <w:highlight w:val="none"/>
        </w:rPr>
        <w:t>检验超高性能混凝土</w:t>
      </w:r>
      <w:r>
        <w:rPr>
          <w:rFonts w:hint="eastAsia"/>
          <w:color w:val="auto"/>
          <w:highlight w:val="none"/>
          <w:lang w:val="en-US" w:eastAsia="zh-CN"/>
        </w:rPr>
        <w:t>拌合</w:t>
      </w:r>
      <w:r>
        <w:rPr>
          <w:rFonts w:hint="eastAsia"/>
          <w:color w:val="auto"/>
          <w:highlight w:val="none"/>
        </w:rPr>
        <w:t>物</w:t>
      </w:r>
      <w:r>
        <w:rPr>
          <w:rFonts w:hint="eastAsia"/>
          <w:color w:val="auto"/>
          <w:highlight w:val="none"/>
          <w:lang w:val="en-US" w:eastAsia="zh-CN"/>
        </w:rPr>
        <w:t>中的</w:t>
      </w:r>
      <w:r>
        <w:rPr>
          <w:rFonts w:hint="eastAsia"/>
          <w:color w:val="auto"/>
          <w:highlight w:val="none"/>
        </w:rPr>
        <w:t>纤维</w:t>
      </w:r>
      <w:r>
        <w:rPr>
          <w:rFonts w:hint="eastAsia"/>
          <w:color w:val="auto"/>
          <w:highlight w:val="none"/>
          <w:lang w:eastAsia="zh-CN"/>
        </w:rPr>
        <w:t>在</w:t>
      </w:r>
      <w:r>
        <w:rPr>
          <w:rFonts w:hint="eastAsia"/>
          <w:color w:val="auto"/>
          <w:highlight w:val="none"/>
        </w:rPr>
        <w:t>水平流动</w:t>
      </w:r>
      <w:r>
        <w:rPr>
          <w:rFonts w:hint="eastAsia"/>
          <w:color w:val="auto"/>
          <w:highlight w:val="none"/>
          <w:lang w:val="en-US" w:eastAsia="zh-CN"/>
        </w:rPr>
        <w:t>情况下的</w:t>
      </w:r>
      <w:r>
        <w:rPr>
          <w:rFonts w:hint="eastAsia"/>
          <w:color w:val="auto"/>
          <w:highlight w:val="none"/>
        </w:rPr>
        <w:t>分布</w:t>
      </w:r>
      <w:r>
        <w:rPr>
          <w:rFonts w:hint="eastAsia"/>
          <w:color w:val="auto"/>
          <w:highlight w:val="none"/>
          <w:lang w:val="en-US" w:eastAsia="zh-CN"/>
        </w:rPr>
        <w:t>均匀性</w:t>
      </w:r>
      <w:r>
        <w:rPr>
          <w:rFonts w:hint="eastAsia"/>
          <w:color w:val="auto"/>
          <w:highlight w:val="none"/>
        </w:rPr>
        <w:t>。</w:t>
      </w:r>
    </w:p>
    <w:p w14:paraId="56EAAE30">
      <w:pPr>
        <w:kinsoku/>
        <w:overflowPunct/>
        <w:bidi w:val="0"/>
        <w:spacing w:line="360" w:lineRule="auto"/>
        <w:rPr>
          <w:color w:val="auto"/>
          <w:highlight w:val="none"/>
        </w:rPr>
      </w:pPr>
      <w:r>
        <w:rPr>
          <w:rFonts w:hint="eastAsia"/>
          <w:color w:val="auto"/>
          <w:highlight w:val="none"/>
        </w:rPr>
        <w:t>2 试验采用的仪器设备应符合下列规定：</w:t>
      </w:r>
    </w:p>
    <w:p w14:paraId="2188E795">
      <w:pPr>
        <w:kinsoku/>
        <w:overflowPunct/>
        <w:bidi w:val="0"/>
        <w:spacing w:line="360" w:lineRule="auto"/>
        <w:rPr>
          <w:rFonts w:hint="eastAsia"/>
          <w:color w:val="auto"/>
          <w:highlight w:val="none"/>
          <w:woUserID w:val="2"/>
        </w:rPr>
      </w:pPr>
      <w:r>
        <w:rPr>
          <w:rFonts w:hint="eastAsia"/>
          <w:color w:val="auto"/>
          <w:highlight w:val="none"/>
        </w:rPr>
        <w:t xml:space="preserve">a </w:t>
      </w:r>
      <w:r>
        <w:rPr>
          <w:rFonts w:hint="eastAsia"/>
          <w:color w:val="auto"/>
          <w:highlight w:val="none"/>
          <w:lang w:val="en-US" w:eastAsia="zh-CN"/>
        </w:rPr>
        <w:t>L</w:t>
      </w:r>
      <w:r>
        <w:rPr>
          <w:rFonts w:hint="eastAsia"/>
          <w:color w:val="auto"/>
          <w:highlight w:val="none"/>
        </w:rPr>
        <w:t>形箱试验仪：</w:t>
      </w:r>
      <w:r>
        <w:rPr>
          <w:rFonts w:hint="eastAsia"/>
          <w:color w:val="auto"/>
          <w:highlight w:val="none"/>
          <w:lang w:val="en-US"/>
          <w:woUserID w:val="2"/>
        </w:rPr>
        <w:t>L</w:t>
      </w:r>
      <w:r>
        <w:rPr>
          <w:rFonts w:hint="eastAsia"/>
          <w:color w:val="auto"/>
          <w:highlight w:val="none"/>
          <w:woUserID w:val="2"/>
        </w:rPr>
        <w:t>形箱</w:t>
      </w:r>
      <w:r>
        <w:rPr>
          <w:rFonts w:hint="eastAsia"/>
          <w:color w:val="auto"/>
          <w:highlight w:val="none"/>
          <w:lang w:eastAsia="zh"/>
          <w:woUserID w:val="2"/>
        </w:rPr>
        <w:t>（图5.8.2-1）</w:t>
      </w:r>
      <w:r>
        <w:rPr>
          <w:rFonts w:hint="eastAsia"/>
          <w:color w:val="auto"/>
          <w:highlight w:val="none"/>
          <w:woUserID w:val="2"/>
        </w:rPr>
        <w:t>应具有足够刚度且在混凝土填装和流动过程中应不发生变形，表面光滑、平坦且不易被水泥浆腐蚀或生锈。为便于清洁，垂直料斗应为可拆卸式。钢筋栅应为：</w:t>
      </w:r>
    </w:p>
    <w:p w14:paraId="04FE7655">
      <w:pPr>
        <w:kinsoku/>
        <w:overflowPunct/>
        <w:bidi w:val="0"/>
        <w:spacing w:line="360" w:lineRule="auto"/>
        <w:ind w:firstLine="420" w:firstLineChars="200"/>
        <w:rPr>
          <w:rFonts w:hint="eastAsia"/>
          <w:color w:val="auto"/>
          <w:highlight w:val="none"/>
          <w:woUserID w:val="2"/>
        </w:rPr>
      </w:pPr>
      <w:r>
        <w:rPr>
          <w:rFonts w:hint="eastAsia"/>
          <w:color w:val="auto"/>
          <w:highlight w:val="none"/>
          <w:woUserID w:val="2"/>
        </w:rPr>
        <w:t>双筋型：两根直径为</w:t>
      </w:r>
      <w:r>
        <w:rPr>
          <w:rFonts w:hint="eastAsia"/>
          <w:color w:val="auto"/>
          <w:highlight w:val="none"/>
          <w:lang w:val="en-US"/>
          <w:woUserID w:val="2"/>
        </w:rPr>
        <w:t>12 mm</w:t>
      </w:r>
      <w:r>
        <w:rPr>
          <w:rFonts w:hint="eastAsia"/>
          <w:color w:val="auto"/>
          <w:highlight w:val="none"/>
          <w:woUserID w:val="2"/>
        </w:rPr>
        <w:t>±</w:t>
      </w:r>
      <w:r>
        <w:rPr>
          <w:rFonts w:hint="eastAsia"/>
          <w:color w:val="auto"/>
          <w:highlight w:val="none"/>
          <w:lang w:val="en-US"/>
          <w:woUserID w:val="2"/>
        </w:rPr>
        <w:t>0.2 mm</w:t>
      </w:r>
      <w:r>
        <w:rPr>
          <w:rFonts w:hint="eastAsia"/>
          <w:color w:val="auto"/>
          <w:highlight w:val="none"/>
          <w:woUserID w:val="2"/>
        </w:rPr>
        <w:t>的光滑钢筋，且两根钢筋间的间隙为</w:t>
      </w:r>
      <w:r>
        <w:rPr>
          <w:rFonts w:hint="eastAsia"/>
          <w:color w:val="auto"/>
          <w:highlight w:val="none"/>
          <w:lang w:val="en-US"/>
          <w:woUserID w:val="2"/>
        </w:rPr>
        <w:t>59 mm</w:t>
      </w:r>
      <w:r>
        <w:rPr>
          <w:rFonts w:hint="eastAsia"/>
          <w:color w:val="auto"/>
          <w:highlight w:val="none"/>
          <w:woUserID w:val="2"/>
        </w:rPr>
        <w:t>±</w:t>
      </w:r>
      <w:r>
        <w:rPr>
          <w:rFonts w:hint="eastAsia"/>
          <w:color w:val="auto"/>
          <w:highlight w:val="none"/>
          <w:lang w:val="en-US"/>
          <w:woUserID w:val="2"/>
        </w:rPr>
        <w:t>1 mm</w:t>
      </w:r>
      <w:r>
        <w:rPr>
          <w:rFonts w:hint="eastAsia"/>
          <w:color w:val="auto"/>
          <w:highlight w:val="none"/>
          <w:woUserID w:val="2"/>
        </w:rPr>
        <w:t>；</w:t>
      </w:r>
    </w:p>
    <w:p w14:paraId="2C520FFF">
      <w:pPr>
        <w:kinsoku/>
        <w:overflowPunct/>
        <w:bidi w:val="0"/>
        <w:spacing w:line="360" w:lineRule="auto"/>
        <w:ind w:firstLine="420" w:firstLineChars="200"/>
        <w:rPr>
          <w:rFonts w:hint="eastAsia"/>
          <w:color w:val="auto"/>
          <w:highlight w:val="none"/>
          <w:woUserID w:val="2"/>
        </w:rPr>
      </w:pPr>
      <w:r>
        <w:rPr>
          <w:rFonts w:hint="eastAsia"/>
          <w:color w:val="auto"/>
          <w:highlight w:val="none"/>
          <w:woUserID w:val="2"/>
        </w:rPr>
        <w:t>三筋型：三根直径为</w:t>
      </w:r>
      <w:r>
        <w:rPr>
          <w:rFonts w:hint="eastAsia"/>
          <w:color w:val="auto"/>
          <w:highlight w:val="none"/>
          <w:lang w:val="en-US"/>
          <w:woUserID w:val="2"/>
        </w:rPr>
        <w:t>12 mm</w:t>
      </w:r>
      <w:r>
        <w:rPr>
          <w:rFonts w:hint="eastAsia"/>
          <w:color w:val="auto"/>
          <w:highlight w:val="none"/>
          <w:woUserID w:val="2"/>
        </w:rPr>
        <w:t>±</w:t>
      </w:r>
      <w:r>
        <w:rPr>
          <w:rFonts w:hint="eastAsia"/>
          <w:color w:val="auto"/>
          <w:highlight w:val="none"/>
          <w:lang w:val="en-US"/>
          <w:woUserID w:val="2"/>
        </w:rPr>
        <w:t>0.2 mm</w:t>
      </w:r>
      <w:r>
        <w:rPr>
          <w:rFonts w:hint="eastAsia"/>
          <w:color w:val="auto"/>
          <w:highlight w:val="none"/>
          <w:woUserID w:val="2"/>
        </w:rPr>
        <w:t>的光滑钢筋，且三根钢筋间的间隙为</w:t>
      </w:r>
      <w:r>
        <w:rPr>
          <w:rFonts w:hint="eastAsia"/>
          <w:color w:val="auto"/>
          <w:highlight w:val="none"/>
          <w:lang w:val="en-US"/>
          <w:woUserID w:val="2"/>
        </w:rPr>
        <w:t>41 mm</w:t>
      </w:r>
      <w:r>
        <w:rPr>
          <w:rFonts w:hint="eastAsia"/>
          <w:color w:val="auto"/>
          <w:highlight w:val="none"/>
          <w:woUserID w:val="2"/>
        </w:rPr>
        <w:t>±</w:t>
      </w:r>
      <w:r>
        <w:rPr>
          <w:rFonts w:hint="eastAsia"/>
          <w:color w:val="auto"/>
          <w:highlight w:val="none"/>
          <w:lang w:val="en-US"/>
          <w:woUserID w:val="2"/>
        </w:rPr>
        <w:t>1 mm</w:t>
      </w:r>
      <w:r>
        <w:rPr>
          <w:rFonts w:hint="eastAsia"/>
          <w:color w:val="auto"/>
          <w:highlight w:val="none"/>
          <w:woUserID w:val="2"/>
        </w:rPr>
        <w:t>。</w:t>
      </w:r>
    </w:p>
    <w:p w14:paraId="1CC490B0">
      <w:pPr>
        <w:kinsoku/>
        <w:overflowPunct/>
        <w:bidi w:val="0"/>
        <w:spacing w:line="360" w:lineRule="auto"/>
        <w:ind w:firstLine="420" w:firstLineChars="200"/>
        <w:rPr>
          <w:rFonts w:hint="eastAsia"/>
          <w:color w:val="auto"/>
          <w:highlight w:val="none"/>
          <w:woUserID w:val="2"/>
        </w:rPr>
      </w:pPr>
      <w:r>
        <w:rPr>
          <w:rFonts w:hint="eastAsia"/>
          <w:color w:val="auto"/>
          <w:highlight w:val="none"/>
          <w:woUserID w:val="2"/>
        </w:rPr>
        <w:t>应将钢筋固定在</w:t>
      </w:r>
      <w:r>
        <w:rPr>
          <w:rFonts w:hint="eastAsia"/>
          <w:color w:val="auto"/>
          <w:highlight w:val="none"/>
          <w:lang w:val="en-US"/>
          <w:woUserID w:val="2"/>
        </w:rPr>
        <w:t>L</w:t>
      </w:r>
      <w:r>
        <w:rPr>
          <w:rFonts w:hint="eastAsia"/>
          <w:color w:val="auto"/>
          <w:highlight w:val="none"/>
          <w:woUserID w:val="2"/>
        </w:rPr>
        <w:t>形箱内，并沿箱体宽度方向等距分布（图</w:t>
      </w:r>
      <w:r>
        <w:rPr>
          <w:rFonts w:hint="eastAsia"/>
          <w:color w:val="auto"/>
          <w:highlight w:val="none"/>
          <w:lang w:val="en-US"/>
          <w:woUserID w:val="2"/>
        </w:rPr>
        <w:t>5</w:t>
      </w:r>
      <w:r>
        <w:rPr>
          <w:rFonts w:hint="eastAsia"/>
          <w:color w:val="auto"/>
          <w:highlight w:val="none"/>
          <w:lang w:val="en-US" w:eastAsia="zh"/>
          <w:woUserID w:val="2"/>
        </w:rPr>
        <w:t>.8.2-2</w:t>
      </w:r>
      <w:r>
        <w:rPr>
          <w:rFonts w:hint="eastAsia"/>
          <w:color w:val="auto"/>
          <w:highlight w:val="none"/>
          <w:woUserID w:val="2"/>
        </w:rPr>
        <w:t>）。</w:t>
      </w:r>
    </w:p>
    <w:p w14:paraId="4D68AA41">
      <w:pPr>
        <w:kinsoku/>
        <w:overflowPunct/>
        <w:bidi w:val="0"/>
        <w:spacing w:line="360" w:lineRule="auto"/>
        <w:ind w:firstLine="420" w:firstLineChars="200"/>
        <w:rPr>
          <w:color w:val="auto"/>
          <w:highlight w:val="none"/>
        </w:rPr>
      </w:pPr>
      <w:r>
        <w:rPr>
          <w:rFonts w:hint="eastAsia"/>
          <w:color w:val="auto"/>
          <w:highlight w:val="none"/>
          <w:woUserID w:val="2"/>
        </w:rPr>
        <w:t>箱体中任何构件材料的表面均需满足抗水泥浆侵蚀和防锈蚀的要求。</w:t>
      </w:r>
    </w:p>
    <w:p w14:paraId="3E132E75">
      <w:pPr>
        <w:kinsoku/>
        <w:overflowPunct/>
        <w:bidi w:val="0"/>
        <w:spacing w:line="360" w:lineRule="auto"/>
        <w:rPr>
          <w:color w:val="auto"/>
          <w:highlight w:val="none"/>
        </w:rPr>
      </w:pPr>
      <w:r>
        <w:rPr>
          <w:rFonts w:hint="eastAsia"/>
          <w:color w:val="auto"/>
          <w:highlight w:val="none"/>
        </w:rPr>
        <w:t>b 工具:铲子、抹刀、秒表、钢板尺。</w:t>
      </w:r>
    </w:p>
    <w:p w14:paraId="00EA0B3C">
      <w:pPr>
        <w:kinsoku/>
        <w:overflowPunct/>
        <w:bidi w:val="0"/>
        <w:spacing w:line="360" w:lineRule="auto"/>
        <w:jc w:val="center"/>
        <w:rPr>
          <w:rFonts w:hint="eastAsia" w:eastAsia="宋体"/>
          <w:color w:val="auto"/>
          <w:highlight w:val="none"/>
          <w:lang w:eastAsia="zh"/>
        </w:rPr>
      </w:pPr>
      <w:r>
        <w:rPr>
          <w:rFonts w:hint="eastAsia" w:eastAsia="宋体"/>
          <w:color w:val="auto"/>
          <w:highlight w:val="none"/>
          <w:lang w:eastAsia="zh"/>
        </w:rPr>
        <w:drawing>
          <wp:inline distT="0" distB="0" distL="114300" distR="114300">
            <wp:extent cx="3181985" cy="2517775"/>
            <wp:effectExtent l="0" t="0" r="18415" b="1587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41"/>
                    <a:stretch>
                      <a:fillRect/>
                    </a:stretch>
                  </pic:blipFill>
                  <pic:spPr>
                    <a:xfrm>
                      <a:off x="0" y="0"/>
                      <a:ext cx="3181985" cy="2517775"/>
                    </a:xfrm>
                    <a:prstGeom prst="rect">
                      <a:avLst/>
                    </a:prstGeom>
                  </pic:spPr>
                </pic:pic>
              </a:graphicData>
            </a:graphic>
          </wp:inline>
        </w:drawing>
      </w:r>
    </w:p>
    <w:p w14:paraId="5C604CAA">
      <w:pPr>
        <w:kinsoku/>
        <w:overflowPunct/>
        <w:bidi w:val="0"/>
        <w:spacing w:line="360" w:lineRule="auto"/>
        <w:jc w:val="center"/>
        <w:rPr>
          <w:rFonts w:hint="eastAsia"/>
          <w:color w:val="auto"/>
          <w:highlight w:val="none"/>
          <w:lang w:eastAsia="zh"/>
          <w:woUserID w:val="2"/>
        </w:rPr>
      </w:pPr>
      <w:r>
        <w:rPr>
          <w:rFonts w:hint="eastAsia"/>
          <w:color w:val="auto"/>
          <w:highlight w:val="none"/>
          <w:lang w:eastAsia="zh"/>
          <w:woUserID w:val="2"/>
        </w:rPr>
        <w:t>图5.8.2-1 L型箱（mm）</w:t>
      </w:r>
    </w:p>
    <w:p w14:paraId="6A283FD1">
      <w:pPr>
        <w:pStyle w:val="35"/>
        <w:keepNext w:val="0"/>
        <w:keepLines w:val="0"/>
        <w:widowControl/>
        <w:suppressLineNumbers w:val="0"/>
        <w:kinsoku/>
        <w:overflowPunct/>
        <w:bidi w:val="0"/>
        <w:spacing w:before="0" w:beforeAutospacing="1" w:after="0" w:afterAutospacing="1" w:line="360" w:lineRule="auto"/>
        <w:ind w:left="0" w:right="0" w:firstLine="0" w:firstLineChars="0"/>
        <w:jc w:val="center"/>
        <w:rPr>
          <w:color w:val="auto"/>
          <w:highlight w:val="none"/>
          <w:woUserID w:val="2"/>
        </w:rPr>
      </w:pPr>
      <w:r>
        <w:rPr>
          <w:color w:val="auto"/>
          <w:sz w:val="15"/>
          <w:szCs w:val="15"/>
          <w:highlight w:val="none"/>
          <w:lang w:val="en-US"/>
          <w:woUserID w:val="2"/>
        </w:rPr>
        <w:t>1-</w:t>
      </w:r>
      <w:r>
        <w:rPr>
          <w:rFonts w:hint="eastAsia" w:ascii="Times New Roman" w:hAnsi="Times New Roman" w:eastAsia="宋体" w:cs="宋体"/>
          <w:color w:val="auto"/>
          <w:sz w:val="15"/>
          <w:szCs w:val="15"/>
          <w:highlight w:val="none"/>
          <w:woUserID w:val="2"/>
        </w:rPr>
        <w:t>闸门</w:t>
      </w:r>
    </w:p>
    <w:p w14:paraId="2EE4502C">
      <w:pPr>
        <w:kinsoku/>
        <w:overflowPunct/>
        <w:bidi w:val="0"/>
        <w:spacing w:line="360" w:lineRule="auto"/>
        <w:jc w:val="center"/>
        <w:rPr>
          <w:rFonts w:hint="eastAsia"/>
          <w:color w:val="auto"/>
          <w:highlight w:val="none"/>
          <w:lang w:eastAsia="zh"/>
          <w:woUserID w:val="2"/>
        </w:rPr>
      </w:pPr>
      <w:r>
        <w:rPr>
          <w:rFonts w:hint="eastAsia"/>
          <w:color w:val="auto"/>
          <w:highlight w:val="none"/>
          <w:lang w:eastAsia="zh"/>
          <w:woUserID w:val="2"/>
        </w:rPr>
        <w:drawing>
          <wp:inline distT="0" distB="0" distL="114300" distR="114300">
            <wp:extent cx="4413250" cy="2157730"/>
            <wp:effectExtent l="0" t="0" r="0" b="14605"/>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42"/>
                    <a:stretch>
                      <a:fillRect/>
                    </a:stretch>
                  </pic:blipFill>
                  <pic:spPr>
                    <a:xfrm>
                      <a:off x="0" y="0"/>
                      <a:ext cx="4413250" cy="2157730"/>
                    </a:xfrm>
                    <a:prstGeom prst="rect">
                      <a:avLst/>
                    </a:prstGeom>
                  </pic:spPr>
                </pic:pic>
              </a:graphicData>
            </a:graphic>
          </wp:inline>
        </w:drawing>
      </w:r>
    </w:p>
    <w:tbl>
      <w:tblPr>
        <w:tblStyle w:val="3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72"/>
        <w:gridCol w:w="4672"/>
      </w:tblGrid>
      <w:tr w14:paraId="2E916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4672" w:type="dxa"/>
            <w:shd w:val="clear" w:color="auto" w:fill="auto"/>
            <w:vAlign w:val="top"/>
          </w:tcPr>
          <w:p w14:paraId="5DF1DF11">
            <w:pPr>
              <w:pStyle w:val="35"/>
              <w:keepNext w:val="0"/>
              <w:keepLines w:val="0"/>
              <w:widowControl/>
              <w:suppressLineNumbers w:val="0"/>
              <w:kinsoku/>
              <w:overflowPunct/>
              <w:bidi w:val="0"/>
              <w:spacing w:before="0" w:beforeAutospacing="1" w:after="0" w:afterAutospacing="1" w:line="360" w:lineRule="auto"/>
              <w:ind w:left="0" w:right="0" w:firstLine="0" w:firstLineChars="0"/>
              <w:jc w:val="center"/>
              <w:rPr>
                <w:rFonts w:hint="default"/>
                <w:color w:val="auto"/>
                <w:sz w:val="21"/>
                <w:szCs w:val="21"/>
                <w:highlight w:val="none"/>
                <w:woUserID w:val="2"/>
              </w:rPr>
            </w:pPr>
            <w:r>
              <w:rPr>
                <w:rFonts w:hint="default"/>
                <w:color w:val="auto"/>
                <w:sz w:val="21"/>
                <w:szCs w:val="21"/>
                <w:highlight w:val="none"/>
                <w:lang w:val="en-US"/>
                <w:woUserID w:val="2"/>
              </w:rPr>
              <w:t>a</w:t>
            </w:r>
            <w:r>
              <w:rPr>
                <w:rFonts w:hint="eastAsia" w:ascii="Times New Roman" w:hAnsi="Times New Roman" w:eastAsia="宋体" w:cs="宋体"/>
                <w:color w:val="auto"/>
                <w:sz w:val="21"/>
                <w:szCs w:val="21"/>
                <w:highlight w:val="none"/>
                <w:woUserID w:val="2"/>
              </w:rPr>
              <w:t>）净钢筋间距（</w:t>
            </w:r>
            <w:r>
              <w:rPr>
                <w:rFonts w:hint="default"/>
                <w:color w:val="auto"/>
                <w:sz w:val="21"/>
                <w:szCs w:val="21"/>
                <w:highlight w:val="none"/>
                <w:lang w:val="en-US"/>
                <w:woUserID w:val="2"/>
              </w:rPr>
              <w:t>41 mm</w:t>
            </w:r>
            <w:r>
              <w:rPr>
                <w:rFonts w:hint="eastAsia" w:ascii="Times New Roman" w:hAnsi="Times New Roman" w:eastAsia="宋体" w:cs="宋体"/>
                <w:color w:val="auto"/>
                <w:sz w:val="21"/>
                <w:szCs w:val="21"/>
                <w:highlight w:val="none"/>
                <w:woUserID w:val="2"/>
              </w:rPr>
              <w:t>±</w:t>
            </w:r>
            <w:r>
              <w:rPr>
                <w:rFonts w:hint="default"/>
                <w:color w:val="auto"/>
                <w:sz w:val="21"/>
                <w:szCs w:val="21"/>
                <w:highlight w:val="none"/>
                <w:lang w:val="en-US"/>
                <w:woUserID w:val="2"/>
              </w:rPr>
              <w:t>1 mm</w:t>
            </w:r>
            <w:r>
              <w:rPr>
                <w:rFonts w:hint="eastAsia" w:ascii="Times New Roman" w:hAnsi="Times New Roman" w:eastAsia="宋体" w:cs="宋体"/>
                <w:color w:val="auto"/>
                <w:sz w:val="21"/>
                <w:szCs w:val="21"/>
                <w:highlight w:val="none"/>
                <w:woUserID w:val="2"/>
              </w:rPr>
              <w:t>）</w:t>
            </w:r>
          </w:p>
        </w:tc>
        <w:tc>
          <w:tcPr>
            <w:tcW w:w="4672" w:type="dxa"/>
            <w:shd w:val="clear" w:color="auto" w:fill="auto"/>
            <w:vAlign w:val="top"/>
          </w:tcPr>
          <w:p w14:paraId="4154B8FD">
            <w:pPr>
              <w:pStyle w:val="35"/>
              <w:keepNext w:val="0"/>
              <w:keepLines w:val="0"/>
              <w:widowControl/>
              <w:suppressLineNumbers w:val="0"/>
              <w:kinsoku/>
              <w:overflowPunct/>
              <w:bidi w:val="0"/>
              <w:spacing w:before="0" w:beforeAutospacing="1" w:after="0" w:afterAutospacing="1" w:line="360" w:lineRule="auto"/>
              <w:ind w:left="0" w:right="0" w:firstLine="0" w:firstLineChars="0"/>
              <w:jc w:val="center"/>
              <w:rPr>
                <w:rFonts w:hint="default"/>
                <w:color w:val="auto"/>
                <w:sz w:val="21"/>
                <w:szCs w:val="21"/>
                <w:highlight w:val="none"/>
                <w:woUserID w:val="2"/>
              </w:rPr>
            </w:pPr>
            <w:r>
              <w:rPr>
                <w:rFonts w:hint="default"/>
                <w:color w:val="auto"/>
                <w:sz w:val="21"/>
                <w:szCs w:val="21"/>
                <w:highlight w:val="none"/>
                <w:lang w:val="en-US"/>
                <w:woUserID w:val="2"/>
              </w:rPr>
              <w:t>b</w:t>
            </w:r>
            <w:r>
              <w:rPr>
                <w:rFonts w:hint="eastAsia" w:ascii="Times New Roman" w:hAnsi="Times New Roman" w:eastAsia="宋体" w:cs="宋体"/>
                <w:color w:val="auto"/>
                <w:sz w:val="21"/>
                <w:szCs w:val="21"/>
                <w:highlight w:val="none"/>
                <w:woUserID w:val="2"/>
              </w:rPr>
              <w:t>）净钢筋间距（</w:t>
            </w:r>
            <w:r>
              <w:rPr>
                <w:rFonts w:hint="default"/>
                <w:color w:val="auto"/>
                <w:sz w:val="21"/>
                <w:szCs w:val="21"/>
                <w:highlight w:val="none"/>
                <w:lang w:val="en-US"/>
                <w:woUserID w:val="2"/>
              </w:rPr>
              <w:t>59 mm</w:t>
            </w:r>
            <w:r>
              <w:rPr>
                <w:rFonts w:hint="eastAsia" w:ascii="Times New Roman" w:hAnsi="Times New Roman" w:eastAsia="宋体" w:cs="宋体"/>
                <w:color w:val="auto"/>
                <w:sz w:val="21"/>
                <w:szCs w:val="21"/>
                <w:highlight w:val="none"/>
                <w:woUserID w:val="2"/>
              </w:rPr>
              <w:t>±</w:t>
            </w:r>
            <w:r>
              <w:rPr>
                <w:rFonts w:hint="default"/>
                <w:color w:val="auto"/>
                <w:sz w:val="21"/>
                <w:szCs w:val="21"/>
                <w:highlight w:val="none"/>
                <w:lang w:val="en-US"/>
                <w:woUserID w:val="2"/>
              </w:rPr>
              <w:t>1 mm</w:t>
            </w:r>
            <w:r>
              <w:rPr>
                <w:rFonts w:hint="eastAsia" w:ascii="Times New Roman" w:hAnsi="Times New Roman" w:eastAsia="宋体" w:cs="宋体"/>
                <w:color w:val="auto"/>
                <w:sz w:val="21"/>
                <w:szCs w:val="21"/>
                <w:highlight w:val="none"/>
                <w:woUserID w:val="2"/>
              </w:rPr>
              <w:t>）</w:t>
            </w:r>
          </w:p>
        </w:tc>
      </w:tr>
    </w:tbl>
    <w:p w14:paraId="0662C27F">
      <w:pPr>
        <w:kinsoku/>
        <w:overflowPunct/>
        <w:bidi w:val="0"/>
        <w:spacing w:line="360" w:lineRule="auto"/>
        <w:jc w:val="center"/>
        <w:rPr>
          <w:rFonts w:hint="eastAsia"/>
          <w:color w:val="auto"/>
          <w:highlight w:val="none"/>
          <w:lang w:eastAsia="zh"/>
          <w:woUserID w:val="2"/>
        </w:rPr>
      </w:pPr>
      <w:r>
        <w:rPr>
          <w:rFonts w:hint="eastAsia"/>
          <w:color w:val="auto"/>
          <w:highlight w:val="none"/>
          <w:lang w:eastAsia="zh"/>
          <w:woUserID w:val="2"/>
        </w:rPr>
        <w:t>图5.8.2-2 L型箱钢筋栅的布置（mm）</w:t>
      </w:r>
    </w:p>
    <w:p w14:paraId="23B291A0">
      <w:pPr>
        <w:pStyle w:val="35"/>
        <w:widowControl/>
        <w:spacing w:beforeAutospacing="1" w:afterAutospacing="1" w:line="360" w:lineRule="auto"/>
        <w:jc w:val="center"/>
        <w:rPr>
          <w:rFonts w:hint="eastAsia"/>
          <w:color w:val="auto"/>
          <w:highlight w:val="none"/>
          <w:lang w:eastAsia="zh"/>
          <w:woUserID w:val="2"/>
        </w:rPr>
      </w:pPr>
      <w:r>
        <w:rPr>
          <w:color w:val="auto"/>
          <w:sz w:val="15"/>
          <w:szCs w:val="15"/>
          <w:highlight w:val="none"/>
          <w:lang w:val="en-US"/>
          <w:woUserID w:val="2"/>
        </w:rPr>
        <w:t>1-</w:t>
      </w:r>
      <w:r>
        <w:rPr>
          <w:rFonts w:hint="eastAsia" w:ascii="Times New Roman" w:hAnsi="Times New Roman" w:eastAsia="宋体" w:cs="宋体"/>
          <w:color w:val="auto"/>
          <w:sz w:val="15"/>
          <w:szCs w:val="15"/>
          <w:highlight w:val="none"/>
          <w:woUserID w:val="2"/>
        </w:rPr>
        <w:t>直径为</w:t>
      </w:r>
      <w:r>
        <w:rPr>
          <w:color w:val="auto"/>
          <w:sz w:val="15"/>
          <w:szCs w:val="15"/>
          <w:highlight w:val="none"/>
          <w:lang w:val="en-US"/>
          <w:woUserID w:val="2"/>
        </w:rPr>
        <w:t>12 mm</w:t>
      </w:r>
      <w:r>
        <w:rPr>
          <w:rFonts w:hint="eastAsia" w:ascii="Times New Roman" w:hAnsi="Times New Roman" w:eastAsia="宋体" w:cs="宋体"/>
          <w:color w:val="auto"/>
          <w:sz w:val="15"/>
          <w:szCs w:val="15"/>
          <w:highlight w:val="none"/>
          <w:woUserID w:val="2"/>
        </w:rPr>
        <w:t>±</w:t>
      </w:r>
      <w:r>
        <w:rPr>
          <w:color w:val="auto"/>
          <w:sz w:val="15"/>
          <w:szCs w:val="15"/>
          <w:highlight w:val="none"/>
          <w:lang w:val="en-US"/>
          <w:woUserID w:val="2"/>
        </w:rPr>
        <w:t>0.2 mm</w:t>
      </w:r>
      <w:r>
        <w:rPr>
          <w:rFonts w:hint="eastAsia" w:ascii="Times New Roman" w:hAnsi="Times New Roman" w:eastAsia="宋体" w:cs="宋体"/>
          <w:color w:val="auto"/>
          <w:sz w:val="15"/>
          <w:szCs w:val="15"/>
          <w:highlight w:val="none"/>
          <w:woUserID w:val="2"/>
        </w:rPr>
        <w:t>的光滑钢筋</w:t>
      </w:r>
    </w:p>
    <w:p w14:paraId="2DBDB046">
      <w:pPr>
        <w:kinsoku/>
        <w:overflowPunct/>
        <w:bidi w:val="0"/>
        <w:spacing w:line="360" w:lineRule="auto"/>
        <w:rPr>
          <w:color w:val="auto"/>
          <w:highlight w:val="none"/>
        </w:rPr>
      </w:pPr>
      <w:r>
        <w:rPr>
          <w:rFonts w:hint="eastAsia"/>
          <w:color w:val="auto"/>
          <w:highlight w:val="none"/>
        </w:rPr>
        <w:t>3 将约14L</w:t>
      </w:r>
      <w:r>
        <w:rPr>
          <w:rFonts w:hint="eastAsia"/>
          <w:color w:val="auto"/>
          <w:highlight w:val="none"/>
          <w:lang w:eastAsia="zh"/>
          <w:woUserID w:val="2"/>
        </w:rPr>
        <w:t>超高性能</w:t>
      </w:r>
      <w:r>
        <w:rPr>
          <w:rFonts w:hint="eastAsia"/>
          <w:color w:val="auto"/>
          <w:highlight w:val="none"/>
        </w:rPr>
        <w:t>混凝土</w:t>
      </w:r>
      <w:r>
        <w:rPr>
          <w:rFonts w:hint="eastAsia"/>
          <w:color w:val="auto"/>
          <w:highlight w:val="none"/>
          <w:lang w:eastAsia="zh-CN"/>
        </w:rPr>
        <w:t>拌合物</w:t>
      </w:r>
      <w:r>
        <w:rPr>
          <w:rFonts w:hint="eastAsia"/>
          <w:color w:val="auto"/>
          <w:highlight w:val="none"/>
        </w:rPr>
        <w:t>一次装满立筒，用抹刀抹平简口静止 1min。提起闸门，使</w:t>
      </w:r>
      <w:r>
        <w:rPr>
          <w:rFonts w:hint="eastAsia"/>
          <w:color w:val="auto"/>
          <w:highlight w:val="none"/>
          <w:lang w:eastAsia="zh"/>
          <w:woUserID w:val="2"/>
        </w:rPr>
        <w:t>超高性能</w:t>
      </w:r>
      <w:r>
        <w:rPr>
          <w:rFonts w:hint="eastAsia"/>
          <w:color w:val="auto"/>
          <w:highlight w:val="none"/>
        </w:rPr>
        <w:t>混凝土</w:t>
      </w:r>
      <w:r>
        <w:rPr>
          <w:rFonts w:hint="eastAsia"/>
          <w:color w:val="auto"/>
          <w:highlight w:val="none"/>
          <w:lang w:eastAsia="zh-CN"/>
        </w:rPr>
        <w:t>拌合物</w:t>
      </w:r>
      <w:r>
        <w:rPr>
          <w:rFonts w:hint="eastAsia"/>
          <w:color w:val="auto"/>
          <w:highlight w:val="none"/>
        </w:rPr>
        <w:t>通过钢筋流出，混凝土</w:t>
      </w:r>
      <w:r>
        <w:rPr>
          <w:rFonts w:hint="eastAsia"/>
          <w:color w:val="auto"/>
          <w:highlight w:val="none"/>
          <w:lang w:eastAsia="zh-CN"/>
        </w:rPr>
        <w:t>拌合物</w:t>
      </w:r>
      <w:r>
        <w:rPr>
          <w:rFonts w:hint="eastAsia"/>
          <w:color w:val="auto"/>
          <w:highlight w:val="none"/>
        </w:rPr>
        <w:t>停止流动后立即在水平三分点处插入两块钢板，将三段超高性能混凝土装入容器中，用水洗法分别吸出三部分的纤维，对比质量，评估水平方向分布的均匀性。</w:t>
      </w:r>
    </w:p>
    <w:p w14:paraId="04314551">
      <w:pPr>
        <w:kinsoku/>
        <w:overflowPunct/>
        <w:bidi w:val="0"/>
        <w:spacing w:line="360" w:lineRule="auto"/>
        <w:outlineLvl w:val="9"/>
        <w:rPr>
          <w:color w:val="auto"/>
          <w:highlight w:val="none"/>
        </w:rPr>
      </w:pPr>
      <w:r>
        <w:rPr>
          <w:rFonts w:hint="eastAsia"/>
          <w:color w:val="auto"/>
          <w:highlight w:val="none"/>
          <w:lang w:val="en-US" w:eastAsia="zh-CN"/>
        </w:rPr>
        <w:t>4</w:t>
      </w:r>
      <w:r>
        <w:rPr>
          <w:color w:val="auto"/>
          <w:highlight w:val="none"/>
        </w:rPr>
        <w:t xml:space="preserve"> </w:t>
      </w:r>
      <w:r>
        <w:rPr>
          <w:rFonts w:hint="eastAsia"/>
          <w:color w:val="auto"/>
          <w:highlight w:val="none"/>
        </w:rPr>
        <w:t>结果计算</w:t>
      </w:r>
    </w:p>
    <w:p w14:paraId="572C2D2E">
      <w:pPr>
        <w:widowControl/>
        <w:kinsoku/>
        <w:overflowPunct/>
        <w:bidi w:val="0"/>
        <w:spacing w:line="360" w:lineRule="auto"/>
        <w:ind w:firstLine="420" w:firstLineChars="200"/>
        <w:jc w:val="left"/>
        <w:rPr>
          <w:color w:val="auto"/>
          <w:kern w:val="0"/>
          <w:szCs w:val="20"/>
          <w:highlight w:val="none"/>
        </w:rPr>
      </w:pPr>
      <w:r>
        <w:rPr>
          <w:rFonts w:hint="eastAsia"/>
          <w:color w:val="auto"/>
          <w:kern w:val="0"/>
          <w:szCs w:val="20"/>
          <w:highlight w:val="none"/>
        </w:rPr>
        <w:t>1纤维分布均匀性系数应按下式计算：</w:t>
      </w:r>
    </w:p>
    <w:p w14:paraId="4A4121BA">
      <w:pPr>
        <w:widowControl/>
        <w:kinsoku/>
        <w:overflowPunct/>
        <w:bidi w:val="0"/>
        <w:spacing w:line="360" w:lineRule="auto"/>
        <w:jc w:val="center"/>
        <w:rPr>
          <w:color w:val="auto"/>
          <w:position w:val="-17"/>
          <w:sz w:val="18"/>
          <w:szCs w:val="18"/>
          <w:highlight w:val="none"/>
        </w:rPr>
      </w:pPr>
      <w:r>
        <w:rPr>
          <w:color w:val="auto"/>
          <w:position w:val="-30"/>
          <w:sz w:val="18"/>
          <w:szCs w:val="18"/>
          <w:highlight w:val="none"/>
        </w:rPr>
        <w:object>
          <v:shape id="_x0000_i1038" o:spt="75" type="#_x0000_t75" style="height:34.25pt;width:138.2pt;" o:ole="t" filled="f" o:preferrelative="t" stroked="f" coordsize="21600,21600">
            <v:path/>
            <v:fill on="f" focussize="0,0"/>
            <v:stroke on="f"/>
            <v:imagedata r:id="rId44" o:title=""/>
            <o:lock v:ext="edit" aspectratio="t"/>
            <w10:wrap type="none"/>
            <w10:anchorlock/>
          </v:shape>
          <o:OLEObject Type="Embed" ProgID="Equation.3" ShapeID="_x0000_i1038" DrawAspect="Content" ObjectID="_1468075738" r:id="rId43">
            <o:LockedField>false</o:LockedField>
          </o:OLEObject>
        </w:object>
      </w:r>
    </w:p>
    <w:p w14:paraId="3B0934E0">
      <w:pPr>
        <w:kinsoku/>
        <w:overflowPunct/>
        <w:bidi w:val="0"/>
        <w:spacing w:before="95" w:line="360" w:lineRule="auto"/>
        <w:ind w:left="9"/>
        <w:rPr>
          <w:color w:val="auto"/>
          <w:spacing w:val="-3"/>
          <w:szCs w:val="21"/>
          <w:highlight w:val="none"/>
        </w:rPr>
      </w:pPr>
      <w:r>
        <w:rPr>
          <w:rFonts w:hint="eastAsia"/>
          <w:color w:val="auto"/>
          <w:spacing w:val="-3"/>
          <w:szCs w:val="21"/>
          <w:highlight w:val="none"/>
        </w:rPr>
        <w:t>式中：</w:t>
      </w:r>
      <w:r>
        <w:rPr>
          <w:color w:val="auto"/>
          <w:spacing w:val="-3"/>
          <w:position w:val="-10"/>
          <w:szCs w:val="21"/>
          <w:highlight w:val="none"/>
        </w:rPr>
        <w:object>
          <v:shape id="_x0000_i1039" o:spt="75" type="#_x0000_t75" style="height:16.75pt;width:17.95pt;" o:ole="t" filled="f" o:preferrelative="t" stroked="f" coordsize="21600,21600">
            <v:path/>
            <v:fill on="f" focussize="0,0"/>
            <v:stroke on="f"/>
            <v:imagedata r:id="rId46" o:title=""/>
            <o:lock v:ext="edit" aspectratio="t"/>
            <w10:wrap type="none"/>
            <w10:anchorlock/>
          </v:shape>
          <o:OLEObject Type="Embed" ProgID="Equation.3" ShapeID="_x0000_i1039" DrawAspect="Content" ObjectID="_1468075739" r:id="rId45">
            <o:LockedField>false</o:LockedField>
          </o:OLEObject>
        </w:object>
      </w:r>
      <w:r>
        <w:rPr>
          <w:rFonts w:eastAsia="Times New Roman"/>
          <w:color w:val="auto"/>
          <w:spacing w:val="-3"/>
          <w:szCs w:val="21"/>
          <w:highlight w:val="none"/>
        </w:rPr>
        <w:t>——</w:t>
      </w:r>
      <w:r>
        <w:rPr>
          <w:rFonts w:hint="eastAsia"/>
          <w:color w:val="auto"/>
          <w:spacing w:val="-3"/>
          <w:szCs w:val="21"/>
          <w:highlight w:val="none"/>
        </w:rPr>
        <w:t>超高性能混凝土的</w:t>
      </w:r>
      <w:r>
        <w:rPr>
          <w:rFonts w:hint="eastAsia" w:ascii="宋体" w:hAnsi="宋体"/>
          <w:color w:val="auto"/>
          <w:kern w:val="0"/>
          <w:szCs w:val="20"/>
          <w:highlight w:val="none"/>
        </w:rPr>
        <w:t>纤维分布均匀性系数</w:t>
      </w:r>
      <w:r>
        <w:rPr>
          <w:rFonts w:hint="eastAsia"/>
          <w:color w:val="auto"/>
          <w:spacing w:val="-3"/>
          <w:szCs w:val="21"/>
          <w:highlight w:val="none"/>
        </w:rPr>
        <w:t>；</w:t>
      </w:r>
    </w:p>
    <w:p w14:paraId="31DDEAAC">
      <w:pPr>
        <w:kinsoku/>
        <w:overflowPunct/>
        <w:bidi w:val="0"/>
        <w:spacing w:before="95" w:line="360" w:lineRule="auto"/>
        <w:ind w:left="9" w:firstLine="612" w:firstLineChars="300"/>
        <w:rPr>
          <w:color w:val="auto"/>
          <w:spacing w:val="-3"/>
          <w:szCs w:val="21"/>
          <w:highlight w:val="none"/>
        </w:rPr>
      </w:pPr>
      <w:r>
        <w:rPr>
          <w:color w:val="auto"/>
          <w:spacing w:val="-3"/>
          <w:position w:val="-12"/>
          <w:szCs w:val="21"/>
          <w:highlight w:val="none"/>
        </w:rPr>
        <w:object>
          <v:shape id="_x0000_i1040" o:spt="75" type="#_x0000_t75" style="height:18.3pt;width:79.15pt;" o:ole="t" filled="f" o:preferrelative="t" stroked="f" coordsize="21600,21600">
            <v:path/>
            <v:fill on="f" focussize="0,0"/>
            <v:stroke on="f"/>
            <v:imagedata r:id="rId48" o:title=""/>
            <o:lock v:ext="edit" aspectratio="t"/>
            <w10:wrap type="none"/>
            <w10:anchorlock/>
          </v:shape>
          <o:OLEObject Type="Embed" ProgID="Equation.3" ShapeID="_x0000_i1040" DrawAspect="Content" ObjectID="_1468075740" r:id="rId47">
            <o:LockedField>false</o:LockedField>
          </o:OLEObject>
        </w:object>
      </w:r>
      <w:r>
        <w:rPr>
          <w:rFonts w:eastAsia="Times New Roman"/>
          <w:color w:val="auto"/>
          <w:spacing w:val="-3"/>
          <w:szCs w:val="21"/>
          <w:highlight w:val="none"/>
        </w:rPr>
        <w:t>——</w:t>
      </w:r>
      <w:r>
        <w:rPr>
          <w:rFonts w:hint="eastAsia"/>
          <w:color w:val="auto"/>
          <w:spacing w:val="-3"/>
          <w:szCs w:val="21"/>
          <w:highlight w:val="none"/>
        </w:rPr>
        <w:t>分别为</w:t>
      </w:r>
      <w:r>
        <w:rPr>
          <w:rFonts w:hint="eastAsia"/>
          <w:color w:val="auto"/>
          <w:spacing w:val="-3"/>
          <w:szCs w:val="21"/>
          <w:highlight w:val="none"/>
          <w:lang w:val="en-US" w:eastAsia="zh-CN"/>
        </w:rPr>
        <w:t>右</w:t>
      </w:r>
      <w:r>
        <w:rPr>
          <w:rFonts w:hint="eastAsia"/>
          <w:color w:val="auto"/>
          <w:spacing w:val="-3"/>
          <w:szCs w:val="21"/>
          <w:highlight w:val="none"/>
        </w:rPr>
        <w:t>、中、</w:t>
      </w:r>
      <w:r>
        <w:rPr>
          <w:rFonts w:hint="eastAsia"/>
          <w:color w:val="auto"/>
          <w:spacing w:val="-3"/>
          <w:szCs w:val="21"/>
          <w:highlight w:val="none"/>
          <w:lang w:val="en-US" w:eastAsia="zh-CN"/>
        </w:rPr>
        <w:t>左</w:t>
      </w:r>
      <w:r>
        <w:rPr>
          <w:rFonts w:hint="eastAsia"/>
          <w:color w:val="auto"/>
          <w:spacing w:val="-3"/>
          <w:szCs w:val="21"/>
          <w:highlight w:val="none"/>
        </w:rPr>
        <w:t>三段拌合物中纤维的质量 (g)；</w:t>
      </w:r>
    </w:p>
    <w:p w14:paraId="3871ECB9">
      <w:pPr>
        <w:kinsoku/>
        <w:overflowPunct/>
        <w:bidi w:val="0"/>
        <w:spacing w:before="68" w:line="360" w:lineRule="auto"/>
        <w:ind w:left="629"/>
        <w:rPr>
          <w:color w:val="auto"/>
          <w:szCs w:val="21"/>
          <w:highlight w:val="none"/>
        </w:rPr>
      </w:pPr>
      <w:r>
        <w:rPr>
          <w:color w:val="auto"/>
          <w:spacing w:val="-3"/>
          <w:position w:val="-10"/>
          <w:szCs w:val="21"/>
          <w:highlight w:val="none"/>
        </w:rPr>
        <w:object>
          <v:shape id="_x0000_i1041" o:spt="75" type="#_x0000_t75" style="height:19.05pt;width:19.35pt;" o:ole="t" filled="f" o:preferrelative="t" stroked="f" coordsize="21600,21600">
            <v:path/>
            <v:fill on="f" focussize="0,0"/>
            <v:stroke on="f"/>
            <v:imagedata r:id="rId50" o:title=""/>
            <o:lock v:ext="edit" aspectratio="t"/>
            <w10:wrap type="none"/>
            <w10:anchorlock/>
          </v:shape>
          <o:OLEObject Type="Embed" ProgID="Equation.3" ShapeID="_x0000_i1041" DrawAspect="Content" ObjectID="_1468075741" r:id="rId49">
            <o:LockedField>false</o:LockedField>
          </o:OLEObject>
        </w:object>
      </w:r>
      <w:r>
        <w:rPr>
          <w:rFonts w:eastAsia="Times New Roman"/>
          <w:color w:val="auto"/>
          <w:szCs w:val="21"/>
          <w:highlight w:val="none"/>
        </w:rPr>
        <w:t>——</w:t>
      </w:r>
      <w:r>
        <w:rPr>
          <w:rFonts w:hint="eastAsia" w:ascii="宋体" w:hAnsi="宋体" w:cs="宋体"/>
          <w:color w:val="auto"/>
          <w:szCs w:val="21"/>
          <w:highlight w:val="none"/>
        </w:rPr>
        <w:t>三段拌合物中纤维的平均质量</w:t>
      </w:r>
      <w:r>
        <w:rPr>
          <w:rFonts w:hint="eastAsia"/>
          <w:color w:val="auto"/>
          <w:spacing w:val="-3"/>
          <w:szCs w:val="21"/>
          <w:highlight w:val="none"/>
        </w:rPr>
        <w:t xml:space="preserve"> (g)</w:t>
      </w:r>
      <w:r>
        <w:rPr>
          <w:rFonts w:hint="eastAsia"/>
          <w:color w:val="auto"/>
          <w:szCs w:val="21"/>
          <w:highlight w:val="none"/>
        </w:rPr>
        <w:t>；</w:t>
      </w:r>
    </w:p>
    <w:p w14:paraId="08B3A18D">
      <w:pPr>
        <w:kinsoku/>
        <w:overflowPunct/>
        <w:bidi w:val="0"/>
        <w:spacing w:line="360" w:lineRule="auto"/>
        <w:ind w:firstLine="420" w:firstLineChars="200"/>
        <w:rPr>
          <w:color w:val="auto"/>
          <w:highlight w:val="none"/>
        </w:rPr>
      </w:pPr>
      <w:r>
        <w:rPr>
          <w:rFonts w:hint="eastAsia"/>
          <w:color w:val="auto"/>
          <w:highlight w:val="none"/>
        </w:rPr>
        <w:t xml:space="preserve">2 </w:t>
      </w:r>
      <w:r>
        <w:rPr>
          <w:color w:val="auto"/>
          <w:highlight w:val="none"/>
        </w:rPr>
        <w:t>纤维分布均匀性系数的</w:t>
      </w:r>
      <w:r>
        <w:rPr>
          <w:rFonts w:hint="eastAsia"/>
          <w:color w:val="auto"/>
          <w:highlight w:val="none"/>
        </w:rPr>
        <w:t>试验结果</w:t>
      </w:r>
      <w:r>
        <w:rPr>
          <w:color w:val="auto"/>
          <w:highlight w:val="none"/>
        </w:rPr>
        <w:t>应为纤维分布均匀性系数两次测定值的平均值。</w:t>
      </w:r>
    </w:p>
    <w:p w14:paraId="35A94929">
      <w:pPr>
        <w:kinsoku/>
        <w:overflowPunct/>
        <w:bidi w:val="0"/>
        <w:spacing w:line="360" w:lineRule="auto"/>
        <w:outlineLvl w:val="0"/>
        <w:rPr>
          <w:color w:val="auto"/>
          <w:highlight w:val="none"/>
        </w:rPr>
      </w:pPr>
      <w:bookmarkStart w:id="30" w:name="_Toc32384"/>
      <w:r>
        <w:rPr>
          <w:rFonts w:hint="eastAsia"/>
          <w:color w:val="auto"/>
          <w:highlight w:val="none"/>
        </w:rPr>
        <w:t xml:space="preserve">6 </w:t>
      </w:r>
      <w:r>
        <w:rPr>
          <w:color w:val="auto"/>
          <w:highlight w:val="none"/>
        </w:rPr>
        <w:t>物理力学性能试验方法</w:t>
      </w:r>
      <w:bookmarkEnd w:id="30"/>
    </w:p>
    <w:p w14:paraId="3A686C5B">
      <w:pPr>
        <w:pStyle w:val="65"/>
        <w:kinsoku/>
        <w:overflowPunct/>
        <w:bidi w:val="0"/>
        <w:spacing w:before="156" w:beforeLines="50" w:after="156" w:afterLines="50" w:line="360" w:lineRule="auto"/>
        <w:outlineLvl w:val="1"/>
        <w:rPr>
          <w:color w:val="auto"/>
          <w:highlight w:val="none"/>
        </w:rPr>
      </w:pPr>
      <w:bookmarkStart w:id="31" w:name="_Toc16014"/>
      <w:r>
        <w:rPr>
          <w:rFonts w:hint="eastAsia"/>
          <w:color w:val="auto"/>
          <w:highlight w:val="none"/>
        </w:rPr>
        <w:t xml:space="preserve">6.1 </w:t>
      </w:r>
      <w:r>
        <w:rPr>
          <w:color w:val="auto"/>
          <w:highlight w:val="none"/>
        </w:rPr>
        <w:t>抗压强度</w:t>
      </w:r>
      <w:r>
        <w:rPr>
          <w:rFonts w:hint="eastAsia"/>
          <w:color w:val="auto"/>
          <w:highlight w:val="none"/>
        </w:rPr>
        <w:t>试验</w:t>
      </w:r>
      <w:bookmarkEnd w:id="31"/>
    </w:p>
    <w:p w14:paraId="5935AD2D">
      <w:pPr>
        <w:pStyle w:val="53"/>
        <w:kinsoku/>
        <w:overflowPunct/>
        <w:bidi w:val="0"/>
        <w:spacing w:line="360" w:lineRule="auto"/>
        <w:rPr>
          <w:color w:val="auto"/>
          <w:highlight w:val="none"/>
        </w:rPr>
      </w:pPr>
      <w:r>
        <w:rPr>
          <w:rFonts w:hint="eastAsia"/>
          <w:color w:val="auto"/>
          <w:highlight w:val="none"/>
        </w:rPr>
        <w:t>6.1</w:t>
      </w:r>
      <w:r>
        <w:rPr>
          <w:color w:val="auto"/>
          <w:highlight w:val="none"/>
        </w:rPr>
        <w:t>.1</w:t>
      </w:r>
      <w:r>
        <w:rPr>
          <w:rFonts w:hint="eastAsia"/>
          <w:color w:val="auto"/>
          <w:highlight w:val="none"/>
        </w:rPr>
        <w:t xml:space="preserve"> </w:t>
      </w:r>
      <w:r>
        <w:rPr>
          <w:color w:val="auto"/>
          <w:highlight w:val="none"/>
        </w:rPr>
        <w:t>本方法适用于测定</w:t>
      </w:r>
      <w:r>
        <w:rPr>
          <w:rFonts w:hint="eastAsia"/>
          <w:color w:val="auto"/>
          <w:highlight w:val="none"/>
        </w:rPr>
        <w:t>超高性能</w:t>
      </w:r>
      <w:r>
        <w:rPr>
          <w:color w:val="auto"/>
          <w:highlight w:val="none"/>
        </w:rPr>
        <w:t>混凝土立方体试件的抗压强度。</w:t>
      </w:r>
    </w:p>
    <w:p w14:paraId="4A27A062">
      <w:pPr>
        <w:pStyle w:val="53"/>
        <w:kinsoku/>
        <w:overflowPunct/>
        <w:bidi w:val="0"/>
        <w:spacing w:line="360" w:lineRule="auto"/>
        <w:rPr>
          <w:color w:val="auto"/>
          <w:highlight w:val="none"/>
        </w:rPr>
      </w:pPr>
      <w:r>
        <w:rPr>
          <w:rFonts w:hint="eastAsia"/>
          <w:color w:val="auto"/>
          <w:highlight w:val="none"/>
        </w:rPr>
        <w:t>6.1</w:t>
      </w:r>
      <w:r>
        <w:rPr>
          <w:color w:val="auto"/>
          <w:highlight w:val="none"/>
        </w:rPr>
        <w:t>.2 测定</w:t>
      </w:r>
      <w:r>
        <w:rPr>
          <w:rFonts w:hint="eastAsia"/>
          <w:color w:val="auto"/>
          <w:highlight w:val="none"/>
        </w:rPr>
        <w:t>超高性能</w:t>
      </w:r>
      <w:r>
        <w:rPr>
          <w:color w:val="auto"/>
          <w:highlight w:val="none"/>
        </w:rPr>
        <w:t>混凝土立方体抗压强度试验的试件尺寸和数量应符合下列规定:</w:t>
      </w:r>
    </w:p>
    <w:p w14:paraId="6D40A2B2">
      <w:pPr>
        <w:pStyle w:val="53"/>
        <w:kinsoku/>
        <w:overflowPunct/>
        <w:bidi w:val="0"/>
        <w:spacing w:line="360" w:lineRule="auto"/>
        <w:rPr>
          <w:color w:val="auto"/>
          <w:highlight w:val="none"/>
        </w:rPr>
      </w:pPr>
      <w:r>
        <w:rPr>
          <w:color w:val="auto"/>
          <w:highlight w:val="none"/>
        </w:rPr>
        <w:t>1 标准试件是边长为</w:t>
      </w:r>
      <w:r>
        <w:rPr>
          <w:bCs w:val="0"/>
          <w:color w:val="auto"/>
          <w:kern w:val="2"/>
          <w:szCs w:val="21"/>
          <w:highlight w:val="none"/>
          <w:lang w:val="nb-NO"/>
        </w:rPr>
        <w:t>100</w:t>
      </w:r>
      <w:r>
        <w:rPr>
          <w:color w:val="auto"/>
          <w:highlight w:val="none"/>
        </w:rPr>
        <w:t>mm的立方体试件</w:t>
      </w:r>
      <w:r>
        <w:rPr>
          <w:rFonts w:hint="eastAsia"/>
          <w:color w:val="auto"/>
          <w:highlight w:val="none"/>
        </w:rPr>
        <w:t>；</w:t>
      </w:r>
    </w:p>
    <w:p w14:paraId="363FC970">
      <w:pPr>
        <w:pStyle w:val="53"/>
        <w:kinsoku/>
        <w:overflowPunct/>
        <w:bidi w:val="0"/>
        <w:spacing w:line="360" w:lineRule="auto"/>
        <w:rPr>
          <w:color w:val="auto"/>
          <w:highlight w:val="none"/>
        </w:rPr>
      </w:pPr>
      <w:r>
        <w:rPr>
          <w:color w:val="auto"/>
          <w:highlight w:val="none"/>
        </w:rPr>
        <w:t>2</w:t>
      </w:r>
      <w:r>
        <w:rPr>
          <w:rFonts w:hint="eastAsia"/>
          <w:color w:val="auto"/>
          <w:highlight w:val="none"/>
        </w:rPr>
        <w:t xml:space="preserve"> </w:t>
      </w:r>
      <w:r>
        <w:rPr>
          <w:color w:val="auto"/>
          <w:highlight w:val="none"/>
        </w:rPr>
        <w:t>每组试件应为3块。</w:t>
      </w:r>
    </w:p>
    <w:p w14:paraId="481FA08F">
      <w:pPr>
        <w:pStyle w:val="53"/>
        <w:kinsoku/>
        <w:overflowPunct/>
        <w:bidi w:val="0"/>
        <w:spacing w:line="360" w:lineRule="auto"/>
        <w:rPr>
          <w:color w:val="auto"/>
          <w:highlight w:val="none"/>
        </w:rPr>
      </w:pPr>
      <w:r>
        <w:rPr>
          <w:rFonts w:hint="eastAsia"/>
          <w:color w:val="auto"/>
          <w:highlight w:val="none"/>
        </w:rPr>
        <w:t>6.1</w:t>
      </w:r>
      <w:r>
        <w:rPr>
          <w:color w:val="auto"/>
          <w:highlight w:val="none"/>
        </w:rPr>
        <w:t>.3</w:t>
      </w:r>
      <w:r>
        <w:rPr>
          <w:rFonts w:hint="eastAsia"/>
          <w:color w:val="auto"/>
          <w:highlight w:val="none"/>
        </w:rPr>
        <w:t xml:space="preserve"> </w:t>
      </w:r>
      <w:r>
        <w:rPr>
          <w:color w:val="auto"/>
          <w:highlight w:val="none"/>
        </w:rPr>
        <w:t>试验仪器设备应符合下列规定</w:t>
      </w:r>
      <w:r>
        <w:rPr>
          <w:rFonts w:hint="eastAsia"/>
          <w:color w:val="auto"/>
          <w:highlight w:val="none"/>
        </w:rPr>
        <w:t>。</w:t>
      </w:r>
    </w:p>
    <w:p w14:paraId="005F63BF">
      <w:pPr>
        <w:pStyle w:val="53"/>
        <w:kinsoku/>
        <w:overflowPunct/>
        <w:bidi w:val="0"/>
        <w:spacing w:line="360" w:lineRule="auto"/>
        <w:rPr>
          <w:color w:val="auto"/>
          <w:highlight w:val="none"/>
        </w:rPr>
      </w:pPr>
      <w:r>
        <w:rPr>
          <w:color w:val="auto"/>
          <w:highlight w:val="none"/>
        </w:rPr>
        <w:t>1 压力试验机应符合下列规定:</w:t>
      </w:r>
    </w:p>
    <w:p w14:paraId="66824909">
      <w:pPr>
        <w:pStyle w:val="53"/>
        <w:kinsoku/>
        <w:overflowPunct/>
        <w:bidi w:val="0"/>
        <w:spacing w:line="360" w:lineRule="auto"/>
        <w:ind w:firstLine="525" w:firstLineChars="250"/>
        <w:rPr>
          <w:color w:val="auto"/>
          <w:highlight w:val="none"/>
        </w:rPr>
      </w:pPr>
      <w:r>
        <w:rPr>
          <w:color w:val="auto"/>
          <w:highlight w:val="none"/>
        </w:rPr>
        <w:t>1</w:t>
      </w:r>
      <w:r>
        <w:rPr>
          <w:rFonts w:hint="eastAsia"/>
          <w:color w:val="auto"/>
          <w:highlight w:val="none"/>
        </w:rPr>
        <w:t>）</w:t>
      </w:r>
      <w:r>
        <w:rPr>
          <w:color w:val="auto"/>
          <w:highlight w:val="none"/>
        </w:rPr>
        <w:t>试件破坏荷载宜大于压力机全量程的20%且宜小于压力机全量程的80%</w:t>
      </w:r>
      <w:r>
        <w:rPr>
          <w:rFonts w:hint="eastAsia"/>
          <w:color w:val="auto"/>
          <w:highlight w:val="none"/>
        </w:rPr>
        <w:t>；</w:t>
      </w:r>
    </w:p>
    <w:p w14:paraId="2F38D662">
      <w:pPr>
        <w:pStyle w:val="53"/>
        <w:kinsoku/>
        <w:overflowPunct/>
        <w:bidi w:val="0"/>
        <w:spacing w:line="360" w:lineRule="auto"/>
        <w:ind w:firstLine="525" w:firstLineChars="250"/>
        <w:rPr>
          <w:color w:val="auto"/>
          <w:highlight w:val="none"/>
        </w:rPr>
      </w:pPr>
      <w:r>
        <w:rPr>
          <w:color w:val="auto"/>
          <w:highlight w:val="none"/>
        </w:rPr>
        <w:t>2</w:t>
      </w:r>
      <w:r>
        <w:rPr>
          <w:rFonts w:hint="eastAsia"/>
          <w:color w:val="auto"/>
          <w:highlight w:val="none"/>
        </w:rPr>
        <w:t>）</w:t>
      </w:r>
      <w:r>
        <w:rPr>
          <w:color w:val="auto"/>
          <w:highlight w:val="none"/>
        </w:rPr>
        <w:t>示值相对误差应为</w:t>
      </w:r>
      <w:r>
        <w:rPr>
          <w:rFonts w:hint="eastAsia"/>
          <w:color w:val="auto"/>
          <w:highlight w:val="none"/>
        </w:rPr>
        <w:t>±</w:t>
      </w:r>
      <w:r>
        <w:rPr>
          <w:color w:val="auto"/>
          <w:highlight w:val="none"/>
        </w:rPr>
        <w:t>1%</w:t>
      </w:r>
      <w:r>
        <w:rPr>
          <w:rFonts w:hint="eastAsia"/>
          <w:color w:val="auto"/>
          <w:highlight w:val="none"/>
        </w:rPr>
        <w:t>；</w:t>
      </w:r>
    </w:p>
    <w:p w14:paraId="328535FC">
      <w:pPr>
        <w:pStyle w:val="53"/>
        <w:kinsoku/>
        <w:overflowPunct/>
        <w:bidi w:val="0"/>
        <w:spacing w:line="360" w:lineRule="auto"/>
        <w:ind w:firstLine="525" w:firstLineChars="250"/>
        <w:rPr>
          <w:color w:val="auto"/>
          <w:highlight w:val="none"/>
        </w:rPr>
      </w:pPr>
      <w:r>
        <w:rPr>
          <w:color w:val="auto"/>
          <w:highlight w:val="none"/>
        </w:rPr>
        <w:t>3</w:t>
      </w:r>
      <w:r>
        <w:rPr>
          <w:rFonts w:hint="eastAsia"/>
          <w:color w:val="auto"/>
          <w:highlight w:val="none"/>
        </w:rPr>
        <w:t>）</w:t>
      </w:r>
      <w:r>
        <w:rPr>
          <w:color w:val="auto"/>
          <w:highlight w:val="none"/>
        </w:rPr>
        <w:t>应具有加荷速度指示装置或加荷速度控制装置，并应能均匀、连续地加荷</w:t>
      </w:r>
      <w:r>
        <w:rPr>
          <w:rFonts w:hint="eastAsia"/>
          <w:color w:val="auto"/>
          <w:highlight w:val="none"/>
        </w:rPr>
        <w:t>；</w:t>
      </w:r>
    </w:p>
    <w:p w14:paraId="3B74C9DB">
      <w:pPr>
        <w:pStyle w:val="53"/>
        <w:kinsoku/>
        <w:overflowPunct/>
        <w:bidi w:val="0"/>
        <w:spacing w:line="360" w:lineRule="auto"/>
        <w:ind w:firstLine="525" w:firstLineChars="250"/>
        <w:rPr>
          <w:color w:val="auto"/>
          <w:highlight w:val="none"/>
        </w:rPr>
      </w:pPr>
      <w:r>
        <w:rPr>
          <w:rFonts w:hint="eastAsia"/>
          <w:color w:val="auto"/>
          <w:highlight w:val="none"/>
        </w:rPr>
        <w:t>4）</w:t>
      </w:r>
      <w:r>
        <w:rPr>
          <w:color w:val="auto"/>
          <w:highlight w:val="none"/>
        </w:rPr>
        <w:t>试验机上、下承压板的平面度公差不应大于0.04mm</w:t>
      </w:r>
      <w:r>
        <w:rPr>
          <w:rFonts w:hint="eastAsia"/>
          <w:color w:val="auto"/>
          <w:highlight w:val="none"/>
        </w:rPr>
        <w:t>；</w:t>
      </w:r>
      <w:r>
        <w:rPr>
          <w:color w:val="auto"/>
          <w:highlight w:val="none"/>
        </w:rPr>
        <w:t>平行度公差不应大于0.05mm</w:t>
      </w:r>
      <w:r>
        <w:rPr>
          <w:rFonts w:hint="eastAsia"/>
          <w:color w:val="auto"/>
          <w:highlight w:val="none"/>
        </w:rPr>
        <w:t>；</w:t>
      </w:r>
      <w:r>
        <w:rPr>
          <w:color w:val="auto"/>
          <w:highlight w:val="none"/>
        </w:rPr>
        <w:t>表面硬度不应小于55HRC</w:t>
      </w:r>
      <w:r>
        <w:rPr>
          <w:rFonts w:hint="eastAsia"/>
          <w:color w:val="auto"/>
          <w:highlight w:val="none"/>
        </w:rPr>
        <w:t>；</w:t>
      </w:r>
      <w:r>
        <w:rPr>
          <w:color w:val="auto"/>
          <w:highlight w:val="none"/>
        </w:rPr>
        <w:t>板面应光滑、平整，表面粗糙度</w:t>
      </w:r>
      <w:r>
        <w:rPr>
          <w:i/>
          <w:iCs/>
          <w:color w:val="auto"/>
          <w:highlight w:val="none"/>
        </w:rPr>
        <w:t>R</w:t>
      </w:r>
      <w:r>
        <w:rPr>
          <w:color w:val="auto"/>
          <w:highlight w:val="none"/>
          <w:vertAlign w:val="subscript"/>
        </w:rPr>
        <w:t>a</w:t>
      </w:r>
      <w:r>
        <w:rPr>
          <w:color w:val="auto"/>
          <w:highlight w:val="none"/>
        </w:rPr>
        <w:t>不应大于0.80μm</w:t>
      </w:r>
      <w:r>
        <w:rPr>
          <w:rFonts w:hint="eastAsia"/>
          <w:color w:val="auto"/>
          <w:highlight w:val="none"/>
        </w:rPr>
        <w:t>；</w:t>
      </w:r>
    </w:p>
    <w:p w14:paraId="62CCFCFC">
      <w:pPr>
        <w:pStyle w:val="53"/>
        <w:kinsoku/>
        <w:overflowPunct/>
        <w:bidi w:val="0"/>
        <w:spacing w:line="360" w:lineRule="auto"/>
        <w:ind w:firstLine="525" w:firstLineChars="250"/>
        <w:rPr>
          <w:color w:val="auto"/>
          <w:highlight w:val="none"/>
        </w:rPr>
      </w:pPr>
      <w:r>
        <w:rPr>
          <w:color w:val="auto"/>
          <w:highlight w:val="none"/>
        </w:rPr>
        <w:t>5</w:t>
      </w:r>
      <w:r>
        <w:rPr>
          <w:rFonts w:hint="eastAsia"/>
          <w:color w:val="auto"/>
          <w:highlight w:val="none"/>
        </w:rPr>
        <w:t>）</w:t>
      </w:r>
      <w:r>
        <w:rPr>
          <w:color w:val="auto"/>
          <w:highlight w:val="none"/>
        </w:rPr>
        <w:t>球座应转动灵活</w:t>
      </w:r>
      <w:r>
        <w:rPr>
          <w:rFonts w:hint="eastAsia"/>
          <w:color w:val="auto"/>
          <w:highlight w:val="none"/>
        </w:rPr>
        <w:t>；</w:t>
      </w:r>
      <w:r>
        <w:rPr>
          <w:color w:val="auto"/>
          <w:highlight w:val="none"/>
        </w:rPr>
        <w:t>球座宜置于试件顶面，并凸面朝上</w:t>
      </w:r>
      <w:r>
        <w:rPr>
          <w:rFonts w:hint="eastAsia"/>
          <w:color w:val="auto"/>
          <w:highlight w:val="none"/>
        </w:rPr>
        <w:t>；</w:t>
      </w:r>
    </w:p>
    <w:p w14:paraId="0A70B113">
      <w:pPr>
        <w:pStyle w:val="53"/>
        <w:kinsoku/>
        <w:overflowPunct/>
        <w:bidi w:val="0"/>
        <w:spacing w:line="360" w:lineRule="auto"/>
        <w:ind w:firstLine="525" w:firstLineChars="250"/>
        <w:rPr>
          <w:color w:val="auto"/>
          <w:highlight w:val="none"/>
        </w:rPr>
      </w:pPr>
      <w:r>
        <w:rPr>
          <w:color w:val="auto"/>
          <w:highlight w:val="none"/>
        </w:rPr>
        <w:t>6</w:t>
      </w:r>
      <w:r>
        <w:rPr>
          <w:rFonts w:hint="eastAsia"/>
          <w:color w:val="auto"/>
          <w:highlight w:val="none"/>
        </w:rPr>
        <w:t>）</w:t>
      </w:r>
      <w:r>
        <w:rPr>
          <w:color w:val="auto"/>
          <w:highlight w:val="none"/>
        </w:rPr>
        <w:t>其他要求应符合现行国家标准《液压式万能试验机》GB/T 3159和《试验机通用技术要求》GB/T</w:t>
      </w:r>
      <w:r>
        <w:rPr>
          <w:rFonts w:hint="eastAsia"/>
          <w:color w:val="auto"/>
          <w:highlight w:val="none"/>
        </w:rPr>
        <w:t xml:space="preserve"> </w:t>
      </w:r>
      <w:r>
        <w:rPr>
          <w:color w:val="auto"/>
          <w:highlight w:val="none"/>
        </w:rPr>
        <w:t>2611的有关规定。</w:t>
      </w:r>
    </w:p>
    <w:p w14:paraId="199BB0FC">
      <w:pPr>
        <w:pStyle w:val="53"/>
        <w:kinsoku/>
        <w:overflowPunct/>
        <w:bidi w:val="0"/>
        <w:spacing w:line="360" w:lineRule="auto"/>
        <w:rPr>
          <w:color w:val="auto"/>
          <w:highlight w:val="none"/>
        </w:rPr>
      </w:pPr>
      <w:r>
        <w:rPr>
          <w:color w:val="auto"/>
          <w:highlight w:val="none"/>
        </w:rPr>
        <w:t>2 当压力试验机的上、下承压板的平面度、表面硬度和粗糙度不符合本条第1款中第4</w:t>
      </w:r>
      <w:r>
        <w:rPr>
          <w:rFonts w:hint="eastAsia"/>
          <w:color w:val="auto"/>
          <w:highlight w:val="none"/>
        </w:rPr>
        <w:t>）</w:t>
      </w:r>
      <w:r>
        <w:rPr>
          <w:color w:val="auto"/>
          <w:highlight w:val="none"/>
        </w:rPr>
        <w:t>项要求时，上、下承压板与试件之间应各垫以钢垫板。钢垫板应符合下列规定</w:t>
      </w:r>
      <w:r>
        <w:rPr>
          <w:rFonts w:hint="eastAsia"/>
          <w:color w:val="auto"/>
          <w:highlight w:val="none"/>
        </w:rPr>
        <w:t>：</w:t>
      </w:r>
    </w:p>
    <w:p w14:paraId="2F1EB7DD">
      <w:pPr>
        <w:pStyle w:val="53"/>
        <w:kinsoku/>
        <w:overflowPunct/>
        <w:bidi w:val="0"/>
        <w:spacing w:line="360" w:lineRule="auto"/>
        <w:ind w:firstLine="525" w:firstLineChars="250"/>
        <w:rPr>
          <w:color w:val="auto"/>
          <w:highlight w:val="none"/>
        </w:rPr>
      </w:pPr>
      <w:r>
        <w:rPr>
          <w:rFonts w:hint="eastAsia"/>
          <w:color w:val="auto"/>
          <w:highlight w:val="none"/>
        </w:rPr>
        <w:t>1）钢垫板的平面尺寸不应小于试件的承压面积，厚度不应小于25mm；</w:t>
      </w:r>
    </w:p>
    <w:p w14:paraId="12F23B64">
      <w:pPr>
        <w:pStyle w:val="53"/>
        <w:kinsoku/>
        <w:overflowPunct/>
        <w:bidi w:val="0"/>
        <w:spacing w:line="360" w:lineRule="auto"/>
        <w:ind w:firstLine="525" w:firstLineChars="250"/>
        <w:rPr>
          <w:color w:val="auto"/>
          <w:highlight w:val="none"/>
        </w:rPr>
      </w:pPr>
      <w:r>
        <w:rPr>
          <w:rFonts w:hint="eastAsia"/>
          <w:color w:val="auto"/>
          <w:highlight w:val="none"/>
        </w:rPr>
        <w:t>2）钢垫板应机械加工，承压面的平面度、平行度、表面硬度和粗糙度应符合本条第1款要求。</w:t>
      </w:r>
    </w:p>
    <w:p w14:paraId="3887B92C">
      <w:pPr>
        <w:pStyle w:val="53"/>
        <w:kinsoku/>
        <w:overflowPunct/>
        <w:bidi w:val="0"/>
        <w:spacing w:line="360" w:lineRule="auto"/>
        <w:rPr>
          <w:color w:val="auto"/>
          <w:highlight w:val="none"/>
        </w:rPr>
      </w:pPr>
      <w:r>
        <w:rPr>
          <w:rFonts w:hint="eastAsia"/>
          <w:color w:val="auto"/>
          <w:highlight w:val="none"/>
        </w:rPr>
        <w:t>3 试件周围应设防护网罩。</w:t>
      </w:r>
    </w:p>
    <w:p w14:paraId="5A9343E9">
      <w:pPr>
        <w:pStyle w:val="53"/>
        <w:kinsoku/>
        <w:overflowPunct/>
        <w:bidi w:val="0"/>
        <w:spacing w:line="360" w:lineRule="auto"/>
        <w:rPr>
          <w:color w:val="auto"/>
          <w:highlight w:val="none"/>
        </w:rPr>
      </w:pPr>
      <w:r>
        <w:rPr>
          <w:rFonts w:hint="eastAsia"/>
          <w:color w:val="auto"/>
          <w:highlight w:val="none"/>
        </w:rPr>
        <w:t>4 游标卡尺的量程不应小于200mm，分度值宜为0.02mm。</w:t>
      </w:r>
    </w:p>
    <w:p w14:paraId="00048460">
      <w:pPr>
        <w:pStyle w:val="53"/>
        <w:kinsoku/>
        <w:overflowPunct/>
        <w:bidi w:val="0"/>
        <w:spacing w:line="360" w:lineRule="auto"/>
        <w:rPr>
          <w:color w:val="auto"/>
          <w:highlight w:val="none"/>
        </w:rPr>
      </w:pPr>
      <w:r>
        <w:rPr>
          <w:rFonts w:hint="eastAsia"/>
          <w:color w:val="auto"/>
          <w:highlight w:val="none"/>
        </w:rPr>
        <w:t>5 塞尺最小叶片厚度不应大于0.02mm，同时应配置直板尺。</w:t>
      </w:r>
    </w:p>
    <w:p w14:paraId="258AAEF2">
      <w:pPr>
        <w:pStyle w:val="53"/>
        <w:kinsoku/>
        <w:overflowPunct/>
        <w:bidi w:val="0"/>
        <w:spacing w:line="360" w:lineRule="auto"/>
        <w:rPr>
          <w:color w:val="auto"/>
          <w:highlight w:val="none"/>
        </w:rPr>
      </w:pPr>
      <w:r>
        <w:rPr>
          <w:rFonts w:hint="eastAsia"/>
          <w:color w:val="auto"/>
          <w:highlight w:val="none"/>
        </w:rPr>
        <w:t>6 游标量角器的分度值应为0.1°。</w:t>
      </w:r>
    </w:p>
    <w:p w14:paraId="4856FC1D">
      <w:pPr>
        <w:pStyle w:val="53"/>
        <w:kinsoku/>
        <w:overflowPunct/>
        <w:bidi w:val="0"/>
        <w:spacing w:line="360" w:lineRule="auto"/>
        <w:rPr>
          <w:color w:val="auto"/>
          <w:highlight w:val="none"/>
        </w:rPr>
      </w:pPr>
      <w:r>
        <w:rPr>
          <w:rFonts w:hint="eastAsia"/>
          <w:color w:val="auto"/>
          <w:highlight w:val="none"/>
        </w:rPr>
        <w:t>6.1.4 立方体抗压强度试验应按下列步骤进行：</w:t>
      </w:r>
    </w:p>
    <w:p w14:paraId="4C12C8F1">
      <w:pPr>
        <w:pStyle w:val="53"/>
        <w:kinsoku/>
        <w:overflowPunct/>
        <w:bidi w:val="0"/>
        <w:spacing w:line="360" w:lineRule="auto"/>
        <w:rPr>
          <w:color w:val="auto"/>
          <w:highlight w:val="none"/>
        </w:rPr>
      </w:pPr>
      <w:r>
        <w:rPr>
          <w:rFonts w:hint="eastAsia"/>
          <w:color w:val="auto"/>
          <w:highlight w:val="none"/>
        </w:rPr>
        <w:t>1 试件到达试验龄期时，从养护地点取出后，应检查其尺寸及形状，尺寸公差应满足本标准第4.</w:t>
      </w:r>
      <w:r>
        <w:rPr>
          <w:rFonts w:hint="eastAsia"/>
          <w:color w:val="auto"/>
          <w:highlight w:val="none"/>
          <w:lang w:eastAsia="zh"/>
          <w:woUserID w:val="3"/>
        </w:rPr>
        <w:t>3</w:t>
      </w:r>
      <w:r>
        <w:rPr>
          <w:rFonts w:hint="eastAsia"/>
          <w:color w:val="auto"/>
          <w:highlight w:val="none"/>
        </w:rPr>
        <w:t>节的规定，试件取出后应尽快进行试验。</w:t>
      </w:r>
    </w:p>
    <w:p w14:paraId="07B3962D">
      <w:pPr>
        <w:pStyle w:val="53"/>
        <w:kinsoku/>
        <w:overflowPunct/>
        <w:bidi w:val="0"/>
        <w:spacing w:line="360" w:lineRule="auto"/>
        <w:rPr>
          <w:color w:val="auto"/>
          <w:highlight w:val="none"/>
        </w:rPr>
      </w:pPr>
      <w:r>
        <w:rPr>
          <w:rFonts w:hint="eastAsia"/>
          <w:color w:val="auto"/>
          <w:highlight w:val="none"/>
        </w:rPr>
        <w:t>2 试件放置试验机前，应将试件表面与上、下承压板面擦拭干净。</w:t>
      </w:r>
    </w:p>
    <w:p w14:paraId="24DC176D">
      <w:pPr>
        <w:pStyle w:val="53"/>
        <w:kinsoku/>
        <w:overflowPunct/>
        <w:bidi w:val="0"/>
        <w:spacing w:line="360" w:lineRule="auto"/>
        <w:rPr>
          <w:color w:val="auto"/>
          <w:highlight w:val="none"/>
        </w:rPr>
      </w:pPr>
      <w:r>
        <w:rPr>
          <w:rFonts w:hint="eastAsia"/>
          <w:color w:val="auto"/>
          <w:highlight w:val="none"/>
        </w:rPr>
        <w:t>3 以试件成型时的侧面为承压面，应将试件安放在试验机的下压板或垫板上，试件的中心应与试验机下压板中心对准。</w:t>
      </w:r>
    </w:p>
    <w:p w14:paraId="6250A5D6">
      <w:pPr>
        <w:pStyle w:val="53"/>
        <w:kinsoku/>
        <w:overflowPunct/>
        <w:bidi w:val="0"/>
        <w:spacing w:line="360" w:lineRule="auto"/>
        <w:rPr>
          <w:color w:val="auto"/>
          <w:highlight w:val="none"/>
        </w:rPr>
      </w:pPr>
      <w:r>
        <w:rPr>
          <w:rFonts w:hint="eastAsia"/>
          <w:color w:val="auto"/>
          <w:highlight w:val="none"/>
        </w:rPr>
        <w:t>4 启动试验机，试件表面与上、下承压板或钢垫板应均匀接触。</w:t>
      </w:r>
    </w:p>
    <w:p w14:paraId="651BF256">
      <w:pPr>
        <w:pStyle w:val="53"/>
        <w:kinsoku/>
        <w:overflowPunct/>
        <w:bidi w:val="0"/>
        <w:spacing w:line="360" w:lineRule="auto"/>
        <w:rPr>
          <w:rFonts w:hint="eastAsia"/>
          <w:color w:val="auto"/>
          <w:highlight w:val="none"/>
        </w:rPr>
      </w:pPr>
      <w:r>
        <w:rPr>
          <w:rFonts w:hint="eastAsia"/>
          <w:color w:val="auto"/>
          <w:highlight w:val="none"/>
        </w:rPr>
        <w:t>5 试验过程中应连续均匀加荷，加荷速度应取加荷速度应取</w:t>
      </w:r>
      <w:r>
        <w:rPr>
          <w:color w:val="auto"/>
          <w:highlight w:val="none"/>
          <w:lang w:val="nb-NO"/>
        </w:rPr>
        <w:t>1.2MPa/s~1.4MPa/s</w:t>
      </w:r>
      <w:r>
        <w:rPr>
          <w:rFonts w:hint="eastAsia"/>
          <w:color w:val="auto"/>
          <w:highlight w:val="none"/>
        </w:rPr>
        <w:t>。</w:t>
      </w:r>
    </w:p>
    <w:p w14:paraId="22E8E80C">
      <w:pPr>
        <w:pStyle w:val="53"/>
        <w:kinsoku/>
        <w:overflowPunct/>
        <w:bidi w:val="0"/>
        <w:spacing w:line="360" w:lineRule="auto"/>
        <w:rPr>
          <w:color w:val="auto"/>
          <w:highlight w:val="none"/>
        </w:rPr>
      </w:pPr>
      <w:r>
        <w:rPr>
          <w:rFonts w:hint="eastAsia"/>
          <w:color w:val="auto"/>
          <w:highlight w:val="none"/>
        </w:rPr>
        <w:t>6 手动控制压力机加荷速度时，当试件接近破坏开始急剧变形时，应停止调整试验机油门，直至破坏，并记录破坏荷载。</w:t>
      </w:r>
    </w:p>
    <w:p w14:paraId="7E5330F3">
      <w:pPr>
        <w:pStyle w:val="53"/>
        <w:kinsoku/>
        <w:overflowPunct/>
        <w:bidi w:val="0"/>
        <w:spacing w:line="360" w:lineRule="auto"/>
        <w:rPr>
          <w:color w:val="auto"/>
          <w:highlight w:val="none"/>
        </w:rPr>
      </w:pPr>
      <w:r>
        <w:rPr>
          <w:rFonts w:hint="eastAsia"/>
          <w:color w:val="auto"/>
          <w:highlight w:val="none"/>
        </w:rPr>
        <w:t>6.1.5 立方体试件抗压强度试验结果计算及确定应按下列方法进行。</w:t>
      </w:r>
    </w:p>
    <w:p w14:paraId="19CB9577">
      <w:pPr>
        <w:pStyle w:val="53"/>
        <w:kinsoku/>
        <w:overflowPunct/>
        <w:bidi w:val="0"/>
        <w:spacing w:line="360" w:lineRule="auto"/>
        <w:rPr>
          <w:color w:val="auto"/>
          <w:highlight w:val="none"/>
        </w:rPr>
      </w:pPr>
      <w:r>
        <w:rPr>
          <w:rFonts w:hint="eastAsia"/>
          <w:color w:val="auto"/>
          <w:highlight w:val="none"/>
        </w:rPr>
        <w:t>1 超高性能混凝土立方体试件抗压强度应按下式计算：</w:t>
      </w:r>
    </w:p>
    <w:p w14:paraId="7D0E4465">
      <w:pPr>
        <w:pStyle w:val="53"/>
        <w:kinsoku/>
        <w:overflowPunct/>
        <w:bidi w:val="0"/>
        <w:spacing w:line="360" w:lineRule="auto"/>
        <w:jc w:val="right"/>
        <w:rPr>
          <w:color w:val="auto"/>
          <w:highlight w:val="none"/>
        </w:rPr>
      </w:pPr>
      <w:r>
        <w:rPr>
          <w:color w:val="auto"/>
          <w:position w:val="-24"/>
          <w:highlight w:val="none"/>
        </w:rPr>
        <w:object>
          <v:shape id="_x0000_i1042" o:spt="75" type="#_x0000_t75" style="height:30.75pt;width:40.1pt;" o:ole="t" filled="f" o:preferrelative="t" stroked="f" coordsize="21600,21600">
            <v:path/>
            <v:fill on="f" focussize="0,0"/>
            <v:stroke on="f" joinstyle="miter"/>
            <v:imagedata r:id="rId52" o:title=""/>
            <o:lock v:ext="edit" aspectratio="t"/>
            <w10:wrap type="none"/>
            <w10:anchorlock/>
          </v:shape>
          <o:OLEObject Type="Embed" ProgID="Equation.DSMT4" ShapeID="_x0000_i1042" DrawAspect="Content" ObjectID="_1468075742" r:id="rId51">
            <o:LockedField>false</o:LockedField>
          </o:OLEObject>
        </w:object>
      </w:r>
      <w:r>
        <w:rPr>
          <w:rFonts w:hint="eastAsia"/>
          <w:color w:val="auto"/>
          <w:highlight w:val="none"/>
        </w:rPr>
        <w:t xml:space="preserve">                                  (6.1.5)</w:t>
      </w:r>
    </w:p>
    <w:p w14:paraId="4DC4C1DB">
      <w:pPr>
        <w:pStyle w:val="53"/>
        <w:kinsoku/>
        <w:overflowPunct/>
        <w:bidi w:val="0"/>
        <w:spacing w:line="360" w:lineRule="auto"/>
        <w:rPr>
          <w:color w:val="auto"/>
          <w:highlight w:val="none"/>
        </w:rPr>
      </w:pPr>
      <w:r>
        <w:rPr>
          <w:rFonts w:hint="eastAsia"/>
          <w:color w:val="auto"/>
          <w:highlight w:val="none"/>
        </w:rPr>
        <w:t>式中：</w:t>
      </w:r>
      <w:r>
        <w:rPr>
          <w:i/>
          <w:iCs/>
          <w:color w:val="auto"/>
          <w:highlight w:val="none"/>
        </w:rPr>
        <w:t>f</w:t>
      </w:r>
      <w:r>
        <w:rPr>
          <w:color w:val="auto"/>
          <w:highlight w:val="none"/>
          <w:vertAlign w:val="subscript"/>
        </w:rPr>
        <w:t>cc</w:t>
      </w:r>
      <w:r>
        <w:rPr>
          <w:rFonts w:hint="eastAsia"/>
          <w:color w:val="auto"/>
          <w:highlight w:val="none"/>
        </w:rPr>
        <w:t>——超高性能混凝土立方体试件抗压强度（MPa），计算结果应精确至0.1MPa；</w:t>
      </w:r>
    </w:p>
    <w:p w14:paraId="35C2D5F6">
      <w:pPr>
        <w:pStyle w:val="53"/>
        <w:kinsoku/>
        <w:overflowPunct/>
        <w:bidi w:val="0"/>
        <w:spacing w:line="360" w:lineRule="auto"/>
        <w:ind w:firstLine="945" w:firstLineChars="450"/>
        <w:rPr>
          <w:color w:val="auto"/>
          <w:highlight w:val="none"/>
        </w:rPr>
      </w:pPr>
      <w:r>
        <w:rPr>
          <w:i/>
          <w:iCs/>
          <w:color w:val="auto"/>
          <w:highlight w:val="none"/>
        </w:rPr>
        <w:t>F</w:t>
      </w:r>
      <w:r>
        <w:rPr>
          <w:rFonts w:hint="eastAsia"/>
          <w:color w:val="auto"/>
          <w:highlight w:val="none"/>
        </w:rPr>
        <w:t>——试件破坏荷载（N）；</w:t>
      </w:r>
    </w:p>
    <w:p w14:paraId="6987E1B7">
      <w:pPr>
        <w:pStyle w:val="53"/>
        <w:kinsoku/>
        <w:overflowPunct/>
        <w:bidi w:val="0"/>
        <w:spacing w:line="360" w:lineRule="auto"/>
        <w:ind w:firstLine="945" w:firstLineChars="450"/>
        <w:rPr>
          <w:color w:val="auto"/>
          <w:highlight w:val="none"/>
        </w:rPr>
      </w:pPr>
      <w:r>
        <w:rPr>
          <w:i/>
          <w:iCs/>
          <w:color w:val="auto"/>
          <w:highlight w:val="none"/>
        </w:rPr>
        <w:t>A</w:t>
      </w:r>
      <w:r>
        <w:rPr>
          <w:rFonts w:hint="eastAsia"/>
          <w:color w:val="auto"/>
          <w:highlight w:val="none"/>
        </w:rPr>
        <w:t>——试件承压面积（mm</w:t>
      </w:r>
      <w:r>
        <w:rPr>
          <w:color w:val="auto"/>
          <w:highlight w:val="none"/>
          <w:vertAlign w:val="superscript"/>
        </w:rPr>
        <w:t>2</w:t>
      </w:r>
      <w:r>
        <w:rPr>
          <w:rFonts w:hint="eastAsia"/>
          <w:color w:val="auto"/>
          <w:highlight w:val="none"/>
        </w:rPr>
        <w:t>）。</w:t>
      </w:r>
    </w:p>
    <w:p w14:paraId="6790D806">
      <w:pPr>
        <w:pStyle w:val="53"/>
        <w:kinsoku/>
        <w:overflowPunct/>
        <w:bidi w:val="0"/>
        <w:spacing w:line="360" w:lineRule="auto"/>
        <w:rPr>
          <w:rFonts w:hint="eastAsia" w:eastAsia="宋体"/>
          <w:color w:val="auto"/>
          <w:highlight w:val="none"/>
          <w:lang w:eastAsia="zh"/>
          <w:woUserID w:val="3"/>
        </w:rPr>
      </w:pPr>
      <w:r>
        <w:rPr>
          <w:rFonts w:hint="eastAsia"/>
          <w:color w:val="auto"/>
          <w:highlight w:val="none"/>
        </w:rPr>
        <w:t>2 立方体试件抗压强度值的确定应符合下列规定</w:t>
      </w:r>
      <w:r>
        <w:rPr>
          <w:rFonts w:hint="eastAsia"/>
          <w:color w:val="auto"/>
          <w:highlight w:val="none"/>
          <w:lang w:eastAsia="zh"/>
          <w:woUserID w:val="3"/>
        </w:rPr>
        <w:t>：</w:t>
      </w:r>
    </w:p>
    <w:p w14:paraId="1CEB0A11">
      <w:pPr>
        <w:pStyle w:val="53"/>
        <w:kinsoku/>
        <w:overflowPunct/>
        <w:bidi w:val="0"/>
        <w:spacing w:line="360" w:lineRule="auto"/>
        <w:ind w:firstLine="525" w:firstLineChars="250"/>
        <w:rPr>
          <w:color w:val="auto"/>
          <w:highlight w:val="none"/>
        </w:rPr>
      </w:pPr>
      <w:r>
        <w:rPr>
          <w:rFonts w:hint="eastAsia"/>
          <w:color w:val="auto"/>
          <w:highlight w:val="none"/>
        </w:rPr>
        <w:t>1）取3个试件测值的算术平均值作为该组试件的强度值，应精确至0.1MPa；</w:t>
      </w:r>
    </w:p>
    <w:p w14:paraId="727443B0">
      <w:pPr>
        <w:pStyle w:val="53"/>
        <w:kinsoku/>
        <w:overflowPunct/>
        <w:bidi w:val="0"/>
        <w:spacing w:line="360" w:lineRule="auto"/>
        <w:ind w:firstLine="525" w:firstLineChars="250"/>
        <w:rPr>
          <w:color w:val="auto"/>
          <w:highlight w:val="none"/>
        </w:rPr>
      </w:pPr>
      <w:r>
        <w:rPr>
          <w:rFonts w:hint="eastAsia"/>
          <w:color w:val="auto"/>
          <w:highlight w:val="none"/>
        </w:rPr>
        <w:t>2）当3个测值中的最大值或最小值中有一个与中间值的差值超过中间值的15%时，则应把最大及最小值剔除，取中间值作为该组试件的抗压强度值；</w:t>
      </w:r>
    </w:p>
    <w:p w14:paraId="028056AF">
      <w:pPr>
        <w:pStyle w:val="53"/>
        <w:kinsoku/>
        <w:overflowPunct/>
        <w:bidi w:val="0"/>
        <w:spacing w:line="360" w:lineRule="auto"/>
        <w:ind w:firstLine="525" w:firstLineChars="250"/>
        <w:rPr>
          <w:color w:val="auto"/>
          <w:highlight w:val="none"/>
        </w:rPr>
      </w:pPr>
      <w:r>
        <w:rPr>
          <w:rFonts w:hint="eastAsia"/>
          <w:color w:val="auto"/>
          <w:highlight w:val="none"/>
        </w:rPr>
        <w:t>3）当最大值和最小值与中间值的差值均超过中间值的15%时，该组试件的试验结果无效。</w:t>
      </w:r>
    </w:p>
    <w:p w14:paraId="3834C388">
      <w:pPr>
        <w:pStyle w:val="53"/>
        <w:kinsoku/>
        <w:overflowPunct/>
        <w:bidi w:val="0"/>
        <w:spacing w:line="360" w:lineRule="auto"/>
        <w:rPr>
          <w:color w:val="auto"/>
          <w:highlight w:val="none"/>
        </w:rPr>
      </w:pPr>
    </w:p>
    <w:p w14:paraId="6A98B998">
      <w:pPr>
        <w:pStyle w:val="65"/>
        <w:kinsoku/>
        <w:overflowPunct/>
        <w:bidi w:val="0"/>
        <w:spacing w:before="156" w:beforeLines="50" w:after="156" w:afterLines="50" w:line="360" w:lineRule="auto"/>
        <w:outlineLvl w:val="1"/>
        <w:rPr>
          <w:color w:val="auto"/>
          <w:highlight w:val="none"/>
        </w:rPr>
      </w:pPr>
      <w:bookmarkStart w:id="32" w:name="_Toc28543"/>
      <w:r>
        <w:rPr>
          <w:rFonts w:hint="eastAsia"/>
          <w:color w:val="auto"/>
          <w:highlight w:val="none"/>
        </w:rPr>
        <w:t xml:space="preserve">6.2 </w:t>
      </w:r>
      <w:r>
        <w:rPr>
          <w:color w:val="auto"/>
          <w:highlight w:val="none"/>
        </w:rPr>
        <w:t>轴心抗压强度</w:t>
      </w:r>
      <w:r>
        <w:rPr>
          <w:rFonts w:hint="eastAsia"/>
          <w:color w:val="auto"/>
          <w:highlight w:val="none"/>
        </w:rPr>
        <w:t>试验</w:t>
      </w:r>
      <w:bookmarkEnd w:id="32"/>
    </w:p>
    <w:p w14:paraId="2015FA20">
      <w:pPr>
        <w:kinsoku/>
        <w:overflowPunct/>
        <w:bidi w:val="0"/>
        <w:spacing w:before="156" w:beforeLines="50" w:line="360" w:lineRule="auto"/>
        <w:rPr>
          <w:color w:val="auto"/>
          <w:szCs w:val="21"/>
          <w:highlight w:val="none"/>
          <w:lang w:val="nb-NO"/>
        </w:rPr>
      </w:pPr>
      <w:r>
        <w:rPr>
          <w:color w:val="auto"/>
          <w:szCs w:val="21"/>
          <w:highlight w:val="none"/>
          <w:lang w:val="nb-NO"/>
        </w:rPr>
        <w:t>6.</w:t>
      </w:r>
      <w:r>
        <w:rPr>
          <w:rFonts w:hint="eastAsia"/>
          <w:color w:val="auto"/>
          <w:szCs w:val="21"/>
          <w:highlight w:val="none"/>
          <w:lang w:val="nb-NO"/>
        </w:rPr>
        <w:t>2</w:t>
      </w:r>
      <w:r>
        <w:rPr>
          <w:color w:val="auto"/>
          <w:szCs w:val="21"/>
          <w:highlight w:val="none"/>
          <w:lang w:val="nb-NO"/>
        </w:rPr>
        <w:t>.1</w:t>
      </w:r>
      <w:r>
        <w:rPr>
          <w:rFonts w:hint="eastAsia"/>
          <w:color w:val="auto"/>
          <w:szCs w:val="21"/>
          <w:highlight w:val="none"/>
        </w:rPr>
        <w:t xml:space="preserve"> 测定</w:t>
      </w:r>
      <w:r>
        <w:rPr>
          <w:rFonts w:hint="eastAsia"/>
          <w:color w:val="auto"/>
          <w:highlight w:val="none"/>
        </w:rPr>
        <w:t>超高性能</w:t>
      </w:r>
      <w:r>
        <w:rPr>
          <w:rFonts w:hint="eastAsia"/>
          <w:color w:val="auto"/>
          <w:szCs w:val="21"/>
          <w:highlight w:val="none"/>
          <w:lang w:val="nb-NO"/>
        </w:rPr>
        <w:t xml:space="preserve">混凝土轴心抗压强度试验的试件尺寸和数量应符合下列规定： </w:t>
      </w:r>
    </w:p>
    <w:p w14:paraId="06296197">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1标准试件是边长为1</w:t>
      </w:r>
      <w:r>
        <w:rPr>
          <w:rFonts w:hint="eastAsia"/>
          <w:color w:val="auto"/>
          <w:szCs w:val="21"/>
          <w:highlight w:val="none"/>
          <w:lang w:val="nb-NO"/>
        </w:rPr>
        <w:t>0</w:t>
      </w:r>
      <w:r>
        <w:rPr>
          <w:color w:val="auto"/>
          <w:szCs w:val="21"/>
          <w:highlight w:val="none"/>
          <w:lang w:val="nb-NO"/>
        </w:rPr>
        <w:t>0mm×1</w:t>
      </w:r>
      <w:r>
        <w:rPr>
          <w:rFonts w:hint="eastAsia"/>
          <w:color w:val="auto"/>
          <w:szCs w:val="21"/>
          <w:highlight w:val="none"/>
          <w:lang w:val="nb-NO"/>
        </w:rPr>
        <w:t>0</w:t>
      </w:r>
      <w:r>
        <w:rPr>
          <w:color w:val="auto"/>
          <w:szCs w:val="21"/>
          <w:highlight w:val="none"/>
          <w:lang w:val="nb-NO"/>
        </w:rPr>
        <w:t>0mm×300mm的棱柱体试件</w:t>
      </w:r>
      <w:r>
        <w:rPr>
          <w:rFonts w:hint="eastAsia"/>
          <w:color w:val="auto"/>
          <w:szCs w:val="21"/>
          <w:highlight w:val="none"/>
          <w:lang w:val="nb-NO"/>
        </w:rPr>
        <w:t>；</w:t>
      </w:r>
    </w:p>
    <w:p w14:paraId="760E6C3B">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2</w:t>
      </w:r>
      <w:r>
        <w:rPr>
          <w:rFonts w:hint="eastAsia"/>
          <w:color w:val="auto"/>
          <w:szCs w:val="21"/>
          <w:highlight w:val="none"/>
        </w:rPr>
        <w:t>每组试件应为3块</w:t>
      </w:r>
      <w:r>
        <w:rPr>
          <w:rFonts w:hint="eastAsia"/>
          <w:color w:val="auto"/>
          <w:szCs w:val="21"/>
          <w:highlight w:val="none"/>
          <w:lang w:val="nb-NO"/>
        </w:rPr>
        <w:t>。</w:t>
      </w:r>
    </w:p>
    <w:p w14:paraId="225B0DCB">
      <w:pPr>
        <w:kinsoku/>
        <w:overflowPunct/>
        <w:bidi w:val="0"/>
        <w:spacing w:before="156" w:beforeLines="50" w:line="360" w:lineRule="auto"/>
        <w:rPr>
          <w:color w:val="auto"/>
          <w:szCs w:val="21"/>
          <w:highlight w:val="none"/>
        </w:rPr>
      </w:pPr>
      <w:r>
        <w:rPr>
          <w:color w:val="auto"/>
          <w:szCs w:val="21"/>
          <w:highlight w:val="none"/>
          <w:lang w:val="nb-NO"/>
        </w:rPr>
        <w:t>6.</w:t>
      </w:r>
      <w:r>
        <w:rPr>
          <w:rFonts w:hint="eastAsia"/>
          <w:color w:val="auto"/>
          <w:szCs w:val="21"/>
          <w:highlight w:val="none"/>
          <w:lang w:val="nb-NO"/>
        </w:rPr>
        <w:t>2</w:t>
      </w:r>
      <w:r>
        <w:rPr>
          <w:color w:val="auto"/>
          <w:szCs w:val="21"/>
          <w:highlight w:val="none"/>
          <w:lang w:val="nb-NO"/>
        </w:rPr>
        <w:t>.2</w:t>
      </w:r>
      <w:r>
        <w:rPr>
          <w:rFonts w:hint="eastAsia"/>
          <w:color w:val="auto"/>
          <w:szCs w:val="21"/>
          <w:highlight w:val="none"/>
          <w:lang w:val="nb-NO"/>
        </w:rPr>
        <w:t>试验仪器设备</w:t>
      </w:r>
      <w:r>
        <w:rPr>
          <w:rFonts w:hint="eastAsia"/>
          <w:color w:val="auto"/>
          <w:szCs w:val="21"/>
          <w:highlight w:val="none"/>
        </w:rPr>
        <w:t>应符合本标准第</w:t>
      </w:r>
      <w:r>
        <w:rPr>
          <w:rFonts w:hint="eastAsia"/>
          <w:color w:val="auto"/>
          <w:szCs w:val="21"/>
          <w:highlight w:val="none"/>
          <w:lang w:val="nb-NO"/>
        </w:rPr>
        <w:t>6.1.3</w:t>
      </w:r>
      <w:r>
        <w:rPr>
          <w:rFonts w:hint="eastAsia"/>
          <w:color w:val="auto"/>
          <w:szCs w:val="21"/>
          <w:highlight w:val="none"/>
        </w:rPr>
        <w:t>条的规定。</w:t>
      </w:r>
    </w:p>
    <w:p w14:paraId="1A2CF00D">
      <w:pPr>
        <w:kinsoku/>
        <w:overflowPunct/>
        <w:bidi w:val="0"/>
        <w:spacing w:before="156" w:beforeLines="50" w:line="360" w:lineRule="auto"/>
        <w:rPr>
          <w:color w:val="auto"/>
          <w:szCs w:val="21"/>
          <w:highlight w:val="none"/>
          <w:lang w:val="nb-NO"/>
        </w:rPr>
      </w:pPr>
      <w:r>
        <w:rPr>
          <w:color w:val="auto"/>
          <w:szCs w:val="21"/>
          <w:highlight w:val="none"/>
          <w:lang w:val="nb-NO"/>
        </w:rPr>
        <w:t>6.</w:t>
      </w:r>
      <w:r>
        <w:rPr>
          <w:rFonts w:hint="eastAsia"/>
          <w:color w:val="auto"/>
          <w:szCs w:val="21"/>
          <w:highlight w:val="none"/>
          <w:lang w:val="nb-NO"/>
        </w:rPr>
        <w:t>2</w:t>
      </w:r>
      <w:r>
        <w:rPr>
          <w:color w:val="auto"/>
          <w:szCs w:val="21"/>
          <w:highlight w:val="none"/>
          <w:lang w:val="nb-NO"/>
        </w:rPr>
        <w:t>.3轴心抗压强度试验应按下列步骤进行：</w:t>
      </w:r>
    </w:p>
    <w:p w14:paraId="4901EB41">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1</w:t>
      </w:r>
      <w:r>
        <w:rPr>
          <w:rFonts w:hint="eastAsia"/>
          <w:color w:val="auto"/>
          <w:szCs w:val="21"/>
          <w:highlight w:val="none"/>
        </w:rPr>
        <w:t xml:space="preserve"> 试件到达试验龄期时，</w:t>
      </w:r>
      <w:r>
        <w:rPr>
          <w:rFonts w:hint="eastAsia"/>
          <w:color w:val="auto"/>
          <w:szCs w:val="21"/>
          <w:highlight w:val="none"/>
          <w:lang w:val="nb-NO"/>
        </w:rPr>
        <w:t>从养护地点取出后，应检查其尺寸及形状，尺寸公差应满足本标准第4.</w:t>
      </w:r>
      <w:r>
        <w:rPr>
          <w:rFonts w:hint="eastAsia"/>
          <w:color w:val="auto"/>
          <w:szCs w:val="21"/>
          <w:highlight w:val="none"/>
          <w:lang w:val="nb-NO" w:eastAsia="zh"/>
          <w:woUserID w:val="3"/>
        </w:rPr>
        <w:t>3</w:t>
      </w:r>
      <w:r>
        <w:rPr>
          <w:rFonts w:hint="eastAsia"/>
          <w:color w:val="auto"/>
          <w:szCs w:val="21"/>
          <w:highlight w:val="none"/>
          <w:lang w:val="nb-NO"/>
        </w:rPr>
        <w:t>节的规定，试件取出后应尽快进行试验。</w:t>
      </w:r>
    </w:p>
    <w:p w14:paraId="69AAEFDB">
      <w:pPr>
        <w:kinsoku/>
        <w:overflowPunct/>
        <w:bidi w:val="0"/>
        <w:spacing w:before="156" w:beforeLines="50" w:line="360" w:lineRule="auto"/>
        <w:ind w:firstLine="315" w:firstLineChars="150"/>
        <w:rPr>
          <w:color w:val="auto"/>
          <w:szCs w:val="21"/>
          <w:highlight w:val="none"/>
        </w:rPr>
      </w:pPr>
      <w:r>
        <w:rPr>
          <w:color w:val="auto"/>
          <w:szCs w:val="21"/>
          <w:highlight w:val="none"/>
        </w:rPr>
        <w:t xml:space="preserve">2 </w:t>
      </w:r>
      <w:r>
        <w:rPr>
          <w:rFonts w:hint="eastAsia"/>
          <w:color w:val="auto"/>
          <w:szCs w:val="21"/>
          <w:highlight w:val="none"/>
        </w:rPr>
        <w:t>试件放置试验机前，应将试件表面与上、下承压板面擦拭干净。</w:t>
      </w:r>
    </w:p>
    <w:p w14:paraId="5DC09D31">
      <w:pPr>
        <w:kinsoku/>
        <w:overflowPunct/>
        <w:bidi w:val="0"/>
        <w:spacing w:before="156" w:beforeLines="50" w:line="360" w:lineRule="auto"/>
        <w:ind w:firstLine="315" w:firstLineChars="150"/>
        <w:rPr>
          <w:color w:val="auto"/>
          <w:szCs w:val="21"/>
          <w:highlight w:val="none"/>
          <w:lang w:val="nb-NO"/>
        </w:rPr>
      </w:pPr>
      <w:r>
        <w:rPr>
          <w:color w:val="auto"/>
          <w:szCs w:val="21"/>
          <w:highlight w:val="none"/>
        </w:rPr>
        <w:t>3</w:t>
      </w:r>
      <w:r>
        <w:rPr>
          <w:rFonts w:hint="eastAsia"/>
          <w:color w:val="auto"/>
          <w:szCs w:val="21"/>
          <w:highlight w:val="none"/>
        </w:rPr>
        <w:t xml:space="preserve"> </w:t>
      </w:r>
      <w:r>
        <w:rPr>
          <w:color w:val="auto"/>
          <w:szCs w:val="21"/>
          <w:highlight w:val="none"/>
          <w:lang w:val="nb-NO"/>
        </w:rPr>
        <w:t>将试件直立</w:t>
      </w:r>
      <w:r>
        <w:rPr>
          <w:rFonts w:hint="eastAsia"/>
          <w:color w:val="auto"/>
          <w:szCs w:val="21"/>
          <w:highlight w:val="none"/>
        </w:rPr>
        <w:t>放置</w:t>
      </w:r>
      <w:r>
        <w:rPr>
          <w:color w:val="auto"/>
          <w:szCs w:val="21"/>
          <w:highlight w:val="none"/>
          <w:lang w:val="nb-NO"/>
        </w:rPr>
        <w:t>在试验机的下压板或钢垫板上，并使试件轴心与下压板中心对准</w:t>
      </w:r>
      <w:r>
        <w:rPr>
          <w:rFonts w:hint="eastAsia"/>
          <w:color w:val="auto"/>
          <w:szCs w:val="21"/>
          <w:highlight w:val="none"/>
          <w:lang w:val="nb-NO"/>
        </w:rPr>
        <w:t>。</w:t>
      </w:r>
    </w:p>
    <w:p w14:paraId="415B4B93">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4</w:t>
      </w:r>
      <w:r>
        <w:rPr>
          <w:rFonts w:hint="eastAsia"/>
          <w:color w:val="auto"/>
          <w:szCs w:val="21"/>
          <w:highlight w:val="none"/>
          <w:lang w:val="nb-NO"/>
        </w:rPr>
        <w:t xml:space="preserve"> </w:t>
      </w:r>
      <w:r>
        <w:rPr>
          <w:color w:val="auto"/>
          <w:szCs w:val="21"/>
          <w:highlight w:val="none"/>
          <w:lang w:val="nb-NO"/>
        </w:rPr>
        <w:t>开动试验机，</w:t>
      </w:r>
      <w:r>
        <w:rPr>
          <w:rFonts w:hint="eastAsia"/>
          <w:color w:val="auto"/>
          <w:szCs w:val="21"/>
          <w:highlight w:val="none"/>
          <w:lang w:val="nb-NO"/>
        </w:rPr>
        <w:t>试件表面与上下承压板或钢垫板应均匀接触。</w:t>
      </w:r>
    </w:p>
    <w:p w14:paraId="666F1A05">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5</w:t>
      </w:r>
      <w:r>
        <w:rPr>
          <w:rFonts w:hint="eastAsia"/>
          <w:color w:val="auto"/>
          <w:szCs w:val="21"/>
          <w:highlight w:val="none"/>
          <w:lang w:val="nb-NO"/>
        </w:rPr>
        <w:t xml:space="preserve"> </w:t>
      </w:r>
      <w:r>
        <w:rPr>
          <w:color w:val="auto"/>
          <w:szCs w:val="21"/>
          <w:highlight w:val="none"/>
          <w:lang w:val="nb-NO"/>
        </w:rPr>
        <w:t>在试验过程中应连续均匀加荷，</w:t>
      </w:r>
      <w:r>
        <w:rPr>
          <w:rFonts w:hint="eastAsia"/>
          <w:color w:val="auto"/>
          <w:szCs w:val="21"/>
          <w:highlight w:val="none"/>
          <w:lang w:val="nb-NO"/>
        </w:rPr>
        <w:t>加荷速度应取</w:t>
      </w:r>
      <w:r>
        <w:rPr>
          <w:rFonts w:hint="eastAsia"/>
          <w:color w:val="auto"/>
          <w:highlight w:val="none"/>
        </w:rPr>
        <w:t>1.2MPa/s~1.4MPa/s。</w:t>
      </w:r>
    </w:p>
    <w:p w14:paraId="4F4626EE">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6</w:t>
      </w:r>
      <w:r>
        <w:rPr>
          <w:rFonts w:hint="eastAsia"/>
          <w:color w:val="auto"/>
          <w:szCs w:val="21"/>
          <w:highlight w:val="none"/>
          <w:lang w:val="nb-NO"/>
        </w:rPr>
        <w:t xml:space="preserve"> 手动控制压力机加荷速度时，当</w:t>
      </w:r>
      <w:r>
        <w:rPr>
          <w:color w:val="auto"/>
          <w:szCs w:val="21"/>
          <w:highlight w:val="none"/>
          <w:lang w:val="nb-NO"/>
        </w:rPr>
        <w:t>试件接近破坏开始急剧变形时，应停止调整试验机油门，直至破坏。然后记录破坏荷载。</w:t>
      </w:r>
    </w:p>
    <w:p w14:paraId="51504EA1">
      <w:pPr>
        <w:kinsoku/>
        <w:overflowPunct/>
        <w:bidi w:val="0"/>
        <w:spacing w:before="156" w:beforeLines="50" w:line="360" w:lineRule="auto"/>
        <w:rPr>
          <w:color w:val="auto"/>
          <w:szCs w:val="21"/>
          <w:highlight w:val="none"/>
          <w:lang w:val="nb-NO"/>
        </w:rPr>
      </w:pPr>
      <w:r>
        <w:rPr>
          <w:color w:val="auto"/>
          <w:szCs w:val="21"/>
          <w:highlight w:val="none"/>
          <w:lang w:val="nb-NO"/>
        </w:rPr>
        <w:t>6.</w:t>
      </w:r>
      <w:r>
        <w:rPr>
          <w:rFonts w:hint="eastAsia"/>
          <w:color w:val="auto"/>
          <w:szCs w:val="21"/>
          <w:highlight w:val="none"/>
          <w:lang w:val="nb-NO"/>
        </w:rPr>
        <w:t>2</w:t>
      </w:r>
      <w:r>
        <w:rPr>
          <w:color w:val="auto"/>
          <w:szCs w:val="21"/>
          <w:highlight w:val="none"/>
          <w:lang w:val="nb-NO"/>
        </w:rPr>
        <w:t>.4试验结果计算及确定按下列方法进行：</w:t>
      </w:r>
    </w:p>
    <w:p w14:paraId="10E54BFC">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1</w:t>
      </w:r>
      <w:r>
        <w:rPr>
          <w:rFonts w:hint="eastAsia"/>
          <w:color w:val="auto"/>
          <w:szCs w:val="21"/>
          <w:highlight w:val="none"/>
          <w:lang w:val="nb-NO"/>
        </w:rPr>
        <w:t xml:space="preserve"> </w:t>
      </w:r>
      <w:r>
        <w:rPr>
          <w:rFonts w:hint="eastAsia"/>
          <w:color w:val="auto"/>
          <w:highlight w:val="none"/>
        </w:rPr>
        <w:t>超高性能</w:t>
      </w:r>
      <w:r>
        <w:rPr>
          <w:color w:val="auto"/>
          <w:szCs w:val="21"/>
          <w:highlight w:val="none"/>
          <w:lang w:val="nb-NO"/>
        </w:rPr>
        <w:t>混凝土试件轴心抗压强度应按下式计算</w:t>
      </w:r>
      <w:r>
        <w:rPr>
          <w:rFonts w:hint="eastAsia"/>
          <w:color w:val="auto"/>
          <w:szCs w:val="21"/>
          <w:highlight w:val="none"/>
          <w:lang w:val="nb-NO"/>
        </w:rPr>
        <w:t>：</w:t>
      </w:r>
    </w:p>
    <w:p w14:paraId="47A0BFB0">
      <w:pPr>
        <w:kinsoku/>
        <w:overflowPunct/>
        <w:bidi w:val="0"/>
        <w:spacing w:before="156" w:beforeLines="50" w:line="360" w:lineRule="auto"/>
        <w:ind w:firstLine="315" w:firstLineChars="150"/>
        <w:jc w:val="right"/>
        <w:rPr>
          <w:color w:val="auto"/>
          <w:szCs w:val="21"/>
          <w:highlight w:val="none"/>
          <w:lang w:val="nb-NO"/>
        </w:rPr>
      </w:pPr>
      <w:r>
        <w:rPr>
          <w:rFonts w:hint="eastAsia"/>
          <w:color w:val="auto"/>
          <w:position w:val="-24"/>
          <w:szCs w:val="21"/>
          <w:highlight w:val="none"/>
          <w:lang w:val="nb-NO"/>
        </w:rPr>
        <w:object>
          <v:shape id="_x0000_i1043" o:spt="75" type="#_x0000_t75" style="height:29.95pt;width:41.25pt;" o:ole="t" filled="f" o:preferrelative="t" stroked="f" coordsize="21600,21600">
            <v:path/>
            <v:fill on="f" focussize="0,0"/>
            <v:stroke on="f" joinstyle="miter"/>
            <v:imagedata r:id="rId54" o:title=""/>
            <o:lock v:ext="edit" aspectratio="t"/>
            <w10:wrap type="none"/>
            <w10:anchorlock/>
          </v:shape>
          <o:OLEObject Type="Embed" ProgID="Equation.DSMT4" ShapeID="_x0000_i1043" DrawAspect="Content" ObjectID="_1468075743" r:id="rId53">
            <o:LockedField>false</o:LockedField>
          </o:OLEObject>
        </w:object>
      </w:r>
      <w:r>
        <w:rPr>
          <w:rFonts w:hint="eastAsia"/>
          <w:color w:val="auto"/>
          <w:szCs w:val="21"/>
          <w:highlight w:val="none"/>
        </w:rPr>
        <w:t xml:space="preserve">                              （6.2.4）</w:t>
      </w:r>
    </w:p>
    <w:p w14:paraId="7CE6A52A">
      <w:pPr>
        <w:kinsoku/>
        <w:overflowPunct/>
        <w:bidi w:val="0"/>
        <w:spacing w:before="156" w:beforeLines="50" w:line="360" w:lineRule="auto"/>
        <w:rPr>
          <w:color w:val="auto"/>
          <w:szCs w:val="21"/>
          <w:highlight w:val="none"/>
          <w:lang w:val="nb-NO"/>
        </w:rPr>
      </w:pPr>
      <w:r>
        <w:rPr>
          <w:color w:val="auto"/>
          <w:szCs w:val="21"/>
          <w:highlight w:val="none"/>
          <w:lang w:val="nb-NO"/>
        </w:rPr>
        <w:t>式中</w:t>
      </w:r>
      <w:r>
        <w:rPr>
          <w:rFonts w:hint="eastAsia"/>
          <w:color w:val="auto"/>
          <w:szCs w:val="21"/>
          <w:highlight w:val="none"/>
        </w:rPr>
        <w:t>：</w:t>
      </w:r>
      <w:r>
        <w:rPr>
          <w:i/>
          <w:color w:val="auto"/>
          <w:szCs w:val="21"/>
          <w:highlight w:val="none"/>
          <w:lang w:val="nb-NO"/>
        </w:rPr>
        <w:t>f</w:t>
      </w:r>
      <w:r>
        <w:rPr>
          <w:color w:val="auto"/>
          <w:szCs w:val="21"/>
          <w:highlight w:val="none"/>
          <w:vertAlign w:val="subscript"/>
          <w:lang w:val="nb-NO"/>
        </w:rPr>
        <w:t>cp</w:t>
      </w:r>
      <w:r>
        <w:rPr>
          <w:rFonts w:hint="eastAsia"/>
          <w:color w:val="auto"/>
          <w:szCs w:val="21"/>
          <w:highlight w:val="none"/>
          <w:lang w:val="nb-NO"/>
        </w:rPr>
        <w:t>——</w:t>
      </w:r>
      <w:r>
        <w:rPr>
          <w:rFonts w:hint="eastAsia"/>
          <w:color w:val="auto"/>
          <w:highlight w:val="none"/>
        </w:rPr>
        <w:t>超高性能</w:t>
      </w:r>
      <w:r>
        <w:rPr>
          <w:color w:val="auto"/>
          <w:szCs w:val="21"/>
          <w:highlight w:val="none"/>
          <w:lang w:val="nb-NO"/>
        </w:rPr>
        <w:t>混凝土轴心抗压强度</w:t>
      </w:r>
      <w:r>
        <w:rPr>
          <w:rFonts w:hint="eastAsia"/>
          <w:color w:val="auto"/>
          <w:szCs w:val="21"/>
          <w:highlight w:val="none"/>
          <w:lang w:val="nb-NO"/>
        </w:rPr>
        <w:t>（</w:t>
      </w:r>
      <w:r>
        <w:rPr>
          <w:color w:val="auto"/>
          <w:szCs w:val="21"/>
          <w:highlight w:val="none"/>
          <w:lang w:val="nb-NO"/>
        </w:rPr>
        <w:t>MPa</w:t>
      </w:r>
      <w:r>
        <w:rPr>
          <w:rFonts w:hint="eastAsia"/>
          <w:color w:val="auto"/>
          <w:szCs w:val="21"/>
          <w:highlight w:val="none"/>
          <w:lang w:val="nb-NO"/>
        </w:rPr>
        <w:t>），计算结果应精确至</w:t>
      </w:r>
      <w:r>
        <w:rPr>
          <w:color w:val="auto"/>
          <w:szCs w:val="21"/>
          <w:highlight w:val="none"/>
          <w:lang w:val="nb-NO"/>
        </w:rPr>
        <w:t>0.1M</w:t>
      </w:r>
      <w:r>
        <w:rPr>
          <w:rFonts w:hint="eastAsia"/>
          <w:color w:val="auto"/>
          <w:szCs w:val="21"/>
          <w:highlight w:val="none"/>
          <w:lang w:val="nb-NO"/>
        </w:rPr>
        <w:t>P</w:t>
      </w:r>
      <w:r>
        <w:rPr>
          <w:color w:val="auto"/>
          <w:szCs w:val="21"/>
          <w:highlight w:val="none"/>
          <w:lang w:val="nb-NO"/>
        </w:rPr>
        <w:t>a</w:t>
      </w:r>
      <w:r>
        <w:rPr>
          <w:rFonts w:hint="eastAsia"/>
          <w:color w:val="auto"/>
          <w:szCs w:val="21"/>
          <w:highlight w:val="none"/>
          <w:lang w:val="nb-NO"/>
        </w:rPr>
        <w:t>；</w:t>
      </w:r>
    </w:p>
    <w:p w14:paraId="375B417B">
      <w:pPr>
        <w:kinsoku/>
        <w:overflowPunct/>
        <w:bidi w:val="0"/>
        <w:spacing w:before="156" w:beforeLines="50" w:line="360" w:lineRule="auto"/>
        <w:rPr>
          <w:color w:val="auto"/>
          <w:szCs w:val="21"/>
          <w:highlight w:val="none"/>
          <w:lang w:val="nb-NO"/>
        </w:rPr>
      </w:pPr>
      <w:r>
        <w:rPr>
          <w:rFonts w:hint="eastAsia"/>
          <w:i/>
          <w:color w:val="auto"/>
          <w:szCs w:val="21"/>
          <w:highlight w:val="none"/>
          <w:lang w:val="nb-NO"/>
        </w:rPr>
        <w:t xml:space="preserve">      </w:t>
      </w:r>
      <w:r>
        <w:rPr>
          <w:i/>
          <w:color w:val="auto"/>
          <w:szCs w:val="21"/>
          <w:highlight w:val="none"/>
          <w:lang w:val="nb-NO"/>
        </w:rPr>
        <w:t>F</w:t>
      </w:r>
      <w:r>
        <w:rPr>
          <w:rFonts w:hint="eastAsia"/>
          <w:color w:val="auto"/>
          <w:szCs w:val="21"/>
          <w:highlight w:val="none"/>
          <w:lang w:val="nb-NO"/>
        </w:rPr>
        <w:t>——</w:t>
      </w:r>
      <w:r>
        <w:rPr>
          <w:color w:val="auto"/>
          <w:szCs w:val="21"/>
          <w:highlight w:val="none"/>
          <w:lang w:val="nb-NO"/>
        </w:rPr>
        <w:t>试件破坏荷载</w:t>
      </w:r>
      <w:r>
        <w:rPr>
          <w:rFonts w:hint="eastAsia"/>
          <w:color w:val="auto"/>
          <w:szCs w:val="21"/>
          <w:highlight w:val="none"/>
          <w:lang w:val="nb-NO"/>
        </w:rPr>
        <w:t>（</w:t>
      </w:r>
      <w:r>
        <w:rPr>
          <w:color w:val="auto"/>
          <w:szCs w:val="21"/>
          <w:highlight w:val="none"/>
          <w:lang w:val="nb-NO"/>
        </w:rPr>
        <w:t>N</w:t>
      </w:r>
      <w:r>
        <w:rPr>
          <w:rFonts w:hint="eastAsia"/>
          <w:color w:val="auto"/>
          <w:szCs w:val="21"/>
          <w:highlight w:val="none"/>
          <w:lang w:val="nb-NO"/>
        </w:rPr>
        <w:t>）；</w:t>
      </w:r>
    </w:p>
    <w:p w14:paraId="42EBE406">
      <w:pPr>
        <w:kinsoku/>
        <w:overflowPunct/>
        <w:bidi w:val="0"/>
        <w:spacing w:before="156" w:beforeLines="50" w:line="360" w:lineRule="auto"/>
        <w:rPr>
          <w:color w:val="auto"/>
          <w:szCs w:val="21"/>
          <w:highlight w:val="none"/>
          <w:lang w:val="nb-NO"/>
        </w:rPr>
      </w:pPr>
      <w:r>
        <w:rPr>
          <w:rFonts w:hint="eastAsia"/>
          <w:i/>
          <w:color w:val="auto"/>
          <w:szCs w:val="21"/>
          <w:highlight w:val="none"/>
          <w:lang w:val="nb-NO"/>
        </w:rPr>
        <w:t xml:space="preserve">      </w:t>
      </w:r>
      <w:r>
        <w:rPr>
          <w:i/>
          <w:color w:val="auto"/>
          <w:szCs w:val="21"/>
          <w:highlight w:val="none"/>
          <w:lang w:val="nb-NO"/>
        </w:rPr>
        <w:t>A</w:t>
      </w:r>
      <w:r>
        <w:rPr>
          <w:rFonts w:hint="eastAsia"/>
          <w:color w:val="auto"/>
          <w:szCs w:val="21"/>
          <w:highlight w:val="none"/>
          <w:lang w:val="nb-NO"/>
        </w:rPr>
        <w:t>——</w:t>
      </w:r>
      <w:r>
        <w:rPr>
          <w:color w:val="auto"/>
          <w:szCs w:val="21"/>
          <w:highlight w:val="none"/>
          <w:lang w:val="nb-NO"/>
        </w:rPr>
        <w:t>试件承压面积</w:t>
      </w:r>
      <w:r>
        <w:rPr>
          <w:rFonts w:hint="eastAsia"/>
          <w:color w:val="auto"/>
          <w:szCs w:val="21"/>
          <w:highlight w:val="none"/>
          <w:lang w:val="nb-NO"/>
        </w:rPr>
        <w:t>（</w:t>
      </w:r>
      <w:r>
        <w:rPr>
          <w:color w:val="auto"/>
          <w:szCs w:val="21"/>
          <w:highlight w:val="none"/>
          <w:lang w:val="nb-NO"/>
        </w:rPr>
        <w:t>mm</w:t>
      </w:r>
      <w:r>
        <w:rPr>
          <w:rFonts w:hint="eastAsia"/>
          <w:color w:val="auto"/>
          <w:szCs w:val="21"/>
          <w:highlight w:val="none"/>
          <w:vertAlign w:val="superscript"/>
        </w:rPr>
        <w:t>2</w:t>
      </w:r>
      <w:r>
        <w:rPr>
          <w:rFonts w:hint="eastAsia"/>
          <w:color w:val="auto"/>
          <w:szCs w:val="21"/>
          <w:highlight w:val="none"/>
        </w:rPr>
        <w:t>）。</w:t>
      </w:r>
    </w:p>
    <w:p w14:paraId="6E9799EF">
      <w:pPr>
        <w:kinsoku/>
        <w:overflowPunct/>
        <w:bidi w:val="0"/>
        <w:spacing w:before="156" w:beforeLines="50" w:line="360" w:lineRule="auto"/>
        <w:ind w:firstLine="420" w:firstLineChars="200"/>
        <w:rPr>
          <w:color w:val="auto"/>
          <w:szCs w:val="21"/>
          <w:highlight w:val="none"/>
          <w:lang w:val="nb-NO"/>
        </w:rPr>
      </w:pPr>
      <w:r>
        <w:rPr>
          <w:color w:val="auto"/>
          <w:szCs w:val="21"/>
          <w:highlight w:val="none"/>
          <w:lang w:val="nb-NO"/>
        </w:rPr>
        <w:t xml:space="preserve">2 </w:t>
      </w:r>
      <w:r>
        <w:rPr>
          <w:rFonts w:hint="eastAsia"/>
          <w:color w:val="auto"/>
          <w:highlight w:val="none"/>
        </w:rPr>
        <w:t>超高性能</w:t>
      </w:r>
      <w:r>
        <w:rPr>
          <w:color w:val="auto"/>
          <w:szCs w:val="21"/>
          <w:highlight w:val="none"/>
          <w:lang w:val="nb-NO"/>
        </w:rPr>
        <w:t>混凝土轴心抗压强度值的确定应符合本标准第</w:t>
      </w:r>
      <w:r>
        <w:rPr>
          <w:rFonts w:hint="eastAsia"/>
          <w:color w:val="auto"/>
          <w:szCs w:val="21"/>
          <w:highlight w:val="none"/>
          <w:lang w:val="nb-NO"/>
        </w:rPr>
        <w:t>6.1</w:t>
      </w:r>
      <w:r>
        <w:rPr>
          <w:color w:val="auto"/>
          <w:szCs w:val="21"/>
          <w:highlight w:val="none"/>
          <w:lang w:val="nb-NO"/>
        </w:rPr>
        <w:t>.</w:t>
      </w:r>
      <w:r>
        <w:rPr>
          <w:rFonts w:hint="eastAsia"/>
          <w:color w:val="auto"/>
          <w:szCs w:val="21"/>
          <w:highlight w:val="none"/>
          <w:lang w:val="nb-NO"/>
        </w:rPr>
        <w:t>5</w:t>
      </w:r>
      <w:r>
        <w:rPr>
          <w:color w:val="auto"/>
          <w:szCs w:val="21"/>
          <w:highlight w:val="none"/>
          <w:lang w:val="nb-NO"/>
        </w:rPr>
        <w:t>条中第2款的规定。</w:t>
      </w:r>
    </w:p>
    <w:p w14:paraId="20F7770E">
      <w:pPr>
        <w:kinsoku/>
        <w:overflowPunct/>
        <w:bidi w:val="0"/>
        <w:spacing w:before="156" w:beforeLines="50" w:line="360" w:lineRule="auto"/>
        <w:ind w:firstLine="420" w:firstLineChars="200"/>
        <w:rPr>
          <w:strike/>
          <w:color w:val="auto"/>
          <w:szCs w:val="21"/>
          <w:highlight w:val="none"/>
          <w:lang w:val="nb-NO"/>
        </w:rPr>
      </w:pPr>
    </w:p>
    <w:p w14:paraId="3E22040E">
      <w:pPr>
        <w:pStyle w:val="65"/>
        <w:kinsoku/>
        <w:overflowPunct/>
        <w:bidi w:val="0"/>
        <w:spacing w:before="156" w:beforeLines="50" w:after="156" w:afterLines="50" w:line="360" w:lineRule="auto"/>
        <w:outlineLvl w:val="1"/>
        <w:rPr>
          <w:color w:val="auto"/>
          <w:highlight w:val="none"/>
        </w:rPr>
      </w:pPr>
      <w:bookmarkStart w:id="33" w:name="_Toc19018"/>
      <w:r>
        <w:rPr>
          <w:rFonts w:hint="eastAsia"/>
          <w:color w:val="auto"/>
          <w:highlight w:val="none"/>
        </w:rPr>
        <w:t>6.3 静力受压</w:t>
      </w:r>
      <w:r>
        <w:rPr>
          <w:color w:val="auto"/>
          <w:highlight w:val="none"/>
        </w:rPr>
        <w:t>弹性模量</w:t>
      </w:r>
      <w:r>
        <w:rPr>
          <w:rFonts w:hint="eastAsia"/>
          <w:color w:val="auto"/>
          <w:highlight w:val="none"/>
        </w:rPr>
        <w:t>试验</w:t>
      </w:r>
      <w:bookmarkEnd w:id="33"/>
    </w:p>
    <w:p w14:paraId="48F0D654">
      <w:pPr>
        <w:kinsoku/>
        <w:overflowPunct/>
        <w:bidi w:val="0"/>
        <w:spacing w:before="156" w:beforeLines="50" w:line="360" w:lineRule="auto"/>
        <w:rPr>
          <w:color w:val="auto"/>
          <w:szCs w:val="21"/>
          <w:highlight w:val="none"/>
          <w:lang w:val="nb-NO"/>
        </w:rPr>
      </w:pPr>
      <w:r>
        <w:rPr>
          <w:rFonts w:hint="eastAsia"/>
          <w:color w:val="auto"/>
          <w:szCs w:val="21"/>
          <w:highlight w:val="none"/>
          <w:lang w:val="nb-NO"/>
        </w:rPr>
        <w:t>6.3</w:t>
      </w:r>
      <w:r>
        <w:rPr>
          <w:color w:val="auto"/>
          <w:szCs w:val="21"/>
          <w:highlight w:val="none"/>
          <w:lang w:val="nb-NO"/>
        </w:rPr>
        <w:t>.</w:t>
      </w:r>
      <w:r>
        <w:rPr>
          <w:rFonts w:hint="eastAsia"/>
          <w:color w:val="auto"/>
          <w:szCs w:val="21"/>
          <w:highlight w:val="none"/>
          <w:lang w:val="nb-NO"/>
        </w:rPr>
        <w:t>1</w:t>
      </w:r>
      <w:r>
        <w:rPr>
          <w:rFonts w:hint="eastAsia"/>
          <w:color w:val="auto"/>
          <w:szCs w:val="21"/>
          <w:highlight w:val="none"/>
        </w:rPr>
        <w:t xml:space="preserve"> 测定</w:t>
      </w:r>
      <w:r>
        <w:rPr>
          <w:rFonts w:hint="eastAsia"/>
          <w:color w:val="auto"/>
          <w:highlight w:val="none"/>
        </w:rPr>
        <w:t>超高性能</w:t>
      </w:r>
      <w:r>
        <w:rPr>
          <w:rFonts w:hint="eastAsia"/>
          <w:color w:val="auto"/>
          <w:szCs w:val="21"/>
          <w:highlight w:val="none"/>
          <w:lang w:val="nb-NO"/>
        </w:rPr>
        <w:t xml:space="preserve">混凝土弹性模量试验的试件尺寸和数量应符合下列规定： </w:t>
      </w:r>
    </w:p>
    <w:p w14:paraId="5A5B2271">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1标准试件</w:t>
      </w:r>
      <w:r>
        <w:rPr>
          <w:rFonts w:hint="eastAsia"/>
          <w:color w:val="auto"/>
          <w:szCs w:val="21"/>
          <w:highlight w:val="none"/>
          <w:lang w:val="nb-NO"/>
        </w:rPr>
        <w:t>应</w:t>
      </w:r>
      <w:r>
        <w:rPr>
          <w:color w:val="auto"/>
          <w:szCs w:val="21"/>
          <w:highlight w:val="none"/>
          <w:lang w:val="nb-NO"/>
        </w:rPr>
        <w:t>是边长为1</w:t>
      </w:r>
      <w:r>
        <w:rPr>
          <w:rFonts w:hint="eastAsia"/>
          <w:color w:val="auto"/>
          <w:szCs w:val="21"/>
          <w:highlight w:val="none"/>
          <w:lang w:val="nb-NO"/>
        </w:rPr>
        <w:t>0</w:t>
      </w:r>
      <w:r>
        <w:rPr>
          <w:color w:val="auto"/>
          <w:szCs w:val="21"/>
          <w:highlight w:val="none"/>
          <w:lang w:val="nb-NO"/>
        </w:rPr>
        <w:t>0mm×1</w:t>
      </w:r>
      <w:r>
        <w:rPr>
          <w:rFonts w:hint="eastAsia"/>
          <w:color w:val="auto"/>
          <w:szCs w:val="21"/>
          <w:highlight w:val="none"/>
          <w:lang w:val="nb-NO"/>
        </w:rPr>
        <w:t>0</w:t>
      </w:r>
      <w:r>
        <w:rPr>
          <w:color w:val="auto"/>
          <w:szCs w:val="21"/>
          <w:highlight w:val="none"/>
          <w:lang w:val="nb-NO"/>
        </w:rPr>
        <w:t>0mm×300mm的棱柱体试件</w:t>
      </w:r>
      <w:r>
        <w:rPr>
          <w:rFonts w:hint="eastAsia"/>
          <w:color w:val="auto"/>
          <w:szCs w:val="21"/>
          <w:highlight w:val="none"/>
          <w:lang w:val="nb-NO"/>
        </w:rPr>
        <w:t>；</w:t>
      </w:r>
    </w:p>
    <w:p w14:paraId="77CE5CB4">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2</w:t>
      </w:r>
      <w:r>
        <w:rPr>
          <w:rFonts w:hint="eastAsia"/>
          <w:color w:val="auto"/>
          <w:szCs w:val="21"/>
          <w:highlight w:val="none"/>
        </w:rPr>
        <w:t>每次试验应制备6个试件，其中3个用于测定轴心抗压强度，另外3个用于测定</w:t>
      </w:r>
      <w:r>
        <w:rPr>
          <w:rFonts w:hint="eastAsia"/>
          <w:color w:val="auto"/>
          <w:szCs w:val="21"/>
          <w:highlight w:val="none"/>
          <w:lang w:val="nb-NO"/>
        </w:rPr>
        <w:t>静力受压</w:t>
      </w:r>
      <w:r>
        <w:rPr>
          <w:rFonts w:hint="eastAsia"/>
          <w:color w:val="auto"/>
          <w:szCs w:val="21"/>
          <w:highlight w:val="none"/>
        </w:rPr>
        <w:t>弹性模量</w:t>
      </w:r>
      <w:r>
        <w:rPr>
          <w:rFonts w:hint="eastAsia"/>
          <w:color w:val="auto"/>
          <w:szCs w:val="21"/>
          <w:highlight w:val="none"/>
          <w:lang w:val="nb-NO"/>
        </w:rPr>
        <w:t>。</w:t>
      </w:r>
    </w:p>
    <w:p w14:paraId="42C76B4A">
      <w:pPr>
        <w:kinsoku/>
        <w:overflowPunct/>
        <w:bidi w:val="0"/>
        <w:spacing w:before="156" w:beforeLines="50" w:line="360" w:lineRule="auto"/>
        <w:rPr>
          <w:color w:val="auto"/>
          <w:szCs w:val="21"/>
          <w:highlight w:val="none"/>
        </w:rPr>
      </w:pPr>
      <w:r>
        <w:rPr>
          <w:rFonts w:hint="eastAsia"/>
          <w:color w:val="auto"/>
          <w:szCs w:val="21"/>
          <w:highlight w:val="none"/>
          <w:lang w:val="nb-NO"/>
        </w:rPr>
        <w:t>6.3</w:t>
      </w:r>
      <w:r>
        <w:rPr>
          <w:color w:val="auto"/>
          <w:szCs w:val="21"/>
          <w:highlight w:val="none"/>
          <w:lang w:val="nb-NO"/>
        </w:rPr>
        <w:t>.</w:t>
      </w:r>
      <w:r>
        <w:rPr>
          <w:rFonts w:hint="eastAsia"/>
          <w:color w:val="auto"/>
          <w:szCs w:val="21"/>
          <w:highlight w:val="none"/>
          <w:lang w:val="nb-NO"/>
        </w:rPr>
        <w:t>2</w:t>
      </w:r>
      <w:r>
        <w:rPr>
          <w:rFonts w:hint="eastAsia"/>
          <w:color w:val="auto"/>
          <w:szCs w:val="21"/>
          <w:highlight w:val="none"/>
        </w:rPr>
        <w:t xml:space="preserve"> 试验仪器设备应符合下列规定：</w:t>
      </w:r>
    </w:p>
    <w:p w14:paraId="776BC022">
      <w:pPr>
        <w:kinsoku/>
        <w:overflowPunct/>
        <w:bidi w:val="0"/>
        <w:spacing w:before="156" w:beforeLines="50" w:line="360" w:lineRule="auto"/>
        <w:ind w:firstLine="315" w:firstLineChars="150"/>
        <w:rPr>
          <w:color w:val="auto"/>
          <w:szCs w:val="21"/>
          <w:highlight w:val="none"/>
          <w:lang w:val="nb-NO"/>
        </w:rPr>
      </w:pPr>
      <w:r>
        <w:rPr>
          <w:color w:val="auto"/>
          <w:szCs w:val="21"/>
          <w:highlight w:val="none"/>
        </w:rPr>
        <w:t xml:space="preserve">1 </w:t>
      </w:r>
      <w:r>
        <w:rPr>
          <w:color w:val="auto"/>
          <w:szCs w:val="21"/>
          <w:highlight w:val="none"/>
          <w:lang w:val="nb-NO"/>
        </w:rPr>
        <w:t>压力试验机应符合</w:t>
      </w:r>
      <w:r>
        <w:rPr>
          <w:rFonts w:hint="eastAsia"/>
          <w:color w:val="auto"/>
          <w:szCs w:val="21"/>
          <w:highlight w:val="none"/>
        </w:rPr>
        <w:t>本标准第6.1.3条</w:t>
      </w:r>
      <w:r>
        <w:rPr>
          <w:rFonts w:hint="eastAsia"/>
          <w:color w:val="auto"/>
          <w:szCs w:val="21"/>
          <w:highlight w:val="none"/>
          <w:lang w:val="nb-NO"/>
        </w:rPr>
        <w:t>中第1款</w:t>
      </w:r>
      <w:r>
        <w:rPr>
          <w:color w:val="auto"/>
          <w:szCs w:val="21"/>
          <w:highlight w:val="none"/>
          <w:lang w:val="nb-NO"/>
        </w:rPr>
        <w:t>的规定。</w:t>
      </w:r>
    </w:p>
    <w:p w14:paraId="2118660A">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2</w:t>
      </w:r>
      <w:r>
        <w:rPr>
          <w:rFonts w:hint="eastAsia"/>
          <w:color w:val="auto"/>
          <w:szCs w:val="21"/>
          <w:highlight w:val="none"/>
          <w:lang w:val="nb-NO"/>
        </w:rPr>
        <w:t xml:space="preserve"> 用于</w:t>
      </w:r>
      <w:r>
        <w:rPr>
          <w:color w:val="auto"/>
          <w:szCs w:val="21"/>
          <w:highlight w:val="none"/>
          <w:lang w:val="nb-NO"/>
        </w:rPr>
        <w:t>微变形测量</w:t>
      </w:r>
      <w:r>
        <w:rPr>
          <w:rFonts w:hint="eastAsia"/>
          <w:color w:val="auto"/>
          <w:szCs w:val="21"/>
          <w:highlight w:val="none"/>
          <w:lang w:val="nb-NO"/>
        </w:rPr>
        <w:t>的仪器应符合下列规定：</w:t>
      </w:r>
    </w:p>
    <w:p w14:paraId="0BBEE757">
      <w:pPr>
        <w:pStyle w:val="53"/>
        <w:kinsoku/>
        <w:overflowPunct/>
        <w:bidi w:val="0"/>
        <w:spacing w:line="360" w:lineRule="auto"/>
        <w:ind w:firstLine="525" w:firstLineChars="250"/>
        <w:rPr>
          <w:color w:val="auto"/>
          <w:highlight w:val="none"/>
        </w:rPr>
      </w:pPr>
      <w:r>
        <w:rPr>
          <w:color w:val="auto"/>
          <w:highlight w:val="none"/>
          <w:lang w:val="nb-NO"/>
        </w:rPr>
        <w:t>1</w:t>
      </w:r>
      <w:r>
        <w:rPr>
          <w:rFonts w:hint="eastAsia"/>
          <w:color w:val="auto"/>
          <w:highlight w:val="none"/>
          <w:lang w:val="nb-NO"/>
        </w:rPr>
        <w:t>）</w:t>
      </w:r>
      <w:r>
        <w:rPr>
          <w:color w:val="auto"/>
          <w:highlight w:val="none"/>
          <w:lang w:val="nb-NO"/>
        </w:rPr>
        <w:t>用于微变形测量的仪器应包括千分表、电阻应变片、激光测长仪、引伸仪或位移传感器等。</w:t>
      </w:r>
      <w:r>
        <w:rPr>
          <w:color w:val="auto"/>
          <w:highlight w:val="none"/>
        </w:rPr>
        <w:t>采用千分表或位移传感器时应备有微变形测量固定架，试件的变形通过微变形测量固定架传递到千分表或位移传感器。采用电阻应变片或位移传感器测量试件变形时，应备有数据自动采集系统，条件许可时，可采用荷载和位移数据同步采集系统。</w:t>
      </w:r>
    </w:p>
    <w:p w14:paraId="616B1A02">
      <w:pPr>
        <w:pStyle w:val="53"/>
        <w:kinsoku/>
        <w:overflowPunct/>
        <w:bidi w:val="0"/>
        <w:spacing w:line="360" w:lineRule="auto"/>
        <w:ind w:firstLine="525" w:firstLineChars="250"/>
        <w:rPr>
          <w:color w:val="auto"/>
          <w:highlight w:val="none"/>
          <w:lang w:val="nb-NO"/>
        </w:rPr>
      </w:pPr>
      <w:r>
        <w:rPr>
          <w:color w:val="auto"/>
          <w:highlight w:val="none"/>
          <w:lang w:val="nb-NO"/>
        </w:rPr>
        <w:t>2</w:t>
      </w:r>
      <w:r>
        <w:rPr>
          <w:rFonts w:hint="eastAsia"/>
          <w:color w:val="auto"/>
          <w:highlight w:val="none"/>
          <w:lang w:val="nb-NO"/>
        </w:rPr>
        <w:t>）</w:t>
      </w:r>
      <w:r>
        <w:rPr>
          <w:color w:val="auto"/>
          <w:highlight w:val="none"/>
          <w:lang w:val="nb-NO"/>
        </w:rPr>
        <w:t>当采用</w:t>
      </w:r>
      <w:r>
        <w:rPr>
          <w:rFonts w:hint="eastAsia"/>
          <w:color w:val="auto"/>
          <w:highlight w:val="none"/>
        </w:rPr>
        <w:t>千分表</w:t>
      </w:r>
      <w:r>
        <w:rPr>
          <w:color w:val="auto"/>
          <w:highlight w:val="none"/>
          <w:lang w:val="nb-NO"/>
        </w:rPr>
        <w:t>和</w:t>
      </w:r>
      <w:r>
        <w:rPr>
          <w:rFonts w:hint="eastAsia"/>
          <w:color w:val="auto"/>
          <w:highlight w:val="none"/>
        </w:rPr>
        <w:t>位移传感器</w:t>
      </w:r>
      <w:r>
        <w:rPr>
          <w:color w:val="auto"/>
          <w:highlight w:val="none"/>
          <w:lang w:val="nb-NO"/>
        </w:rPr>
        <w:t>时，其测量精度应为±0.001mm；当采用电阻应变片、激光测长仪或引伸仪时，其测量精度应为±0.001%。</w:t>
      </w:r>
    </w:p>
    <w:p w14:paraId="7BB6D8C6">
      <w:pPr>
        <w:pStyle w:val="53"/>
        <w:kinsoku/>
        <w:overflowPunct/>
        <w:bidi w:val="0"/>
        <w:spacing w:line="360" w:lineRule="auto"/>
        <w:ind w:firstLine="525" w:firstLineChars="250"/>
        <w:rPr>
          <w:color w:val="auto"/>
          <w:highlight w:val="none"/>
          <w:lang w:val="nb-NO"/>
        </w:rPr>
      </w:pPr>
      <w:r>
        <w:rPr>
          <w:color w:val="auto"/>
          <w:highlight w:val="none"/>
          <w:lang w:val="nb-NO"/>
        </w:rPr>
        <w:t>3</w:t>
      </w:r>
      <w:r>
        <w:rPr>
          <w:rFonts w:hint="eastAsia"/>
          <w:color w:val="auto"/>
          <w:highlight w:val="none"/>
          <w:lang w:val="nb-NO"/>
        </w:rPr>
        <w:t>）</w:t>
      </w:r>
      <w:r>
        <w:rPr>
          <w:color w:val="auto"/>
          <w:highlight w:val="none"/>
          <w:lang w:val="nb-NO"/>
        </w:rPr>
        <w:t>标距应为150mm。</w:t>
      </w:r>
    </w:p>
    <w:p w14:paraId="30A73105">
      <w:pPr>
        <w:kinsoku/>
        <w:overflowPunct/>
        <w:bidi w:val="0"/>
        <w:spacing w:before="156" w:beforeLines="50" w:line="360" w:lineRule="auto"/>
        <w:rPr>
          <w:color w:val="auto"/>
          <w:szCs w:val="21"/>
          <w:highlight w:val="none"/>
          <w:lang w:val="nb-NO"/>
        </w:rPr>
      </w:pPr>
      <w:r>
        <w:rPr>
          <w:rFonts w:hint="eastAsia"/>
          <w:color w:val="auto"/>
          <w:szCs w:val="21"/>
          <w:highlight w:val="none"/>
          <w:lang w:val="nb-NO"/>
        </w:rPr>
        <w:t>6.3</w:t>
      </w:r>
      <w:r>
        <w:rPr>
          <w:color w:val="auto"/>
          <w:szCs w:val="21"/>
          <w:highlight w:val="none"/>
          <w:lang w:val="nb-NO"/>
        </w:rPr>
        <w:t>.</w:t>
      </w:r>
      <w:r>
        <w:rPr>
          <w:rFonts w:hint="eastAsia"/>
          <w:color w:val="auto"/>
          <w:szCs w:val="21"/>
          <w:highlight w:val="none"/>
          <w:lang w:val="nb-NO"/>
        </w:rPr>
        <w:t>3</w:t>
      </w:r>
      <w:r>
        <w:rPr>
          <w:color w:val="auto"/>
          <w:szCs w:val="21"/>
          <w:highlight w:val="none"/>
          <w:lang w:val="nb-NO"/>
        </w:rPr>
        <w:t xml:space="preserve"> 弹性模量试验应按下列步骤进行：</w:t>
      </w:r>
    </w:p>
    <w:p w14:paraId="191067DB">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1</w:t>
      </w:r>
      <w:r>
        <w:rPr>
          <w:rFonts w:hint="eastAsia"/>
          <w:color w:val="auto"/>
          <w:szCs w:val="21"/>
          <w:highlight w:val="none"/>
        </w:rPr>
        <w:t xml:space="preserve"> 试件到达试验龄期时，从养护地点取出后，应检查其尺寸及形状，尺寸公差应满足本标准第4.</w:t>
      </w:r>
      <w:r>
        <w:rPr>
          <w:rFonts w:hint="eastAsia"/>
          <w:color w:val="auto"/>
          <w:szCs w:val="21"/>
          <w:highlight w:val="none"/>
          <w:lang w:eastAsia="zh"/>
          <w:woUserID w:val="3"/>
        </w:rPr>
        <w:t>3</w:t>
      </w:r>
      <w:r>
        <w:rPr>
          <w:rFonts w:hint="eastAsia"/>
          <w:color w:val="auto"/>
          <w:szCs w:val="21"/>
          <w:highlight w:val="none"/>
        </w:rPr>
        <w:t>节的规定，试件取出后应尽快进行试验。</w:t>
      </w:r>
    </w:p>
    <w:p w14:paraId="256D0AA3">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2</w:t>
      </w:r>
      <w:r>
        <w:rPr>
          <w:rFonts w:hint="eastAsia"/>
          <w:color w:val="auto"/>
          <w:szCs w:val="21"/>
          <w:highlight w:val="none"/>
          <w:lang w:val="nb-NO"/>
        </w:rPr>
        <w:t xml:space="preserve"> 取一组试件按照本标准第6.2节的规定测定</w:t>
      </w:r>
      <w:r>
        <w:rPr>
          <w:rFonts w:hint="eastAsia"/>
          <w:color w:val="auto"/>
          <w:highlight w:val="none"/>
        </w:rPr>
        <w:t>超高性能</w:t>
      </w:r>
      <w:r>
        <w:rPr>
          <w:rFonts w:hint="eastAsia"/>
          <w:color w:val="auto"/>
          <w:szCs w:val="21"/>
          <w:highlight w:val="none"/>
          <w:lang w:val="nb-NO"/>
        </w:rPr>
        <w:t>混凝土的轴心抗压强度（</w:t>
      </w:r>
      <w:r>
        <w:rPr>
          <w:i/>
          <w:color w:val="auto"/>
          <w:szCs w:val="21"/>
          <w:highlight w:val="none"/>
          <w:lang w:val="nb-NO"/>
        </w:rPr>
        <w:t>f</w:t>
      </w:r>
      <w:r>
        <w:rPr>
          <w:rFonts w:hint="eastAsia"/>
          <w:i w:val="0"/>
          <w:iCs w:val="0"/>
          <w:color w:val="auto"/>
          <w:szCs w:val="21"/>
          <w:highlight w:val="none"/>
          <w:vertAlign w:val="subscript"/>
        </w:rPr>
        <w:t>cp</w:t>
      </w:r>
      <w:r>
        <w:rPr>
          <w:rFonts w:hint="eastAsia"/>
          <w:color w:val="auto"/>
          <w:szCs w:val="21"/>
          <w:highlight w:val="none"/>
        </w:rPr>
        <w:t>)，另一组用于</w:t>
      </w:r>
      <w:r>
        <w:rPr>
          <w:color w:val="auto"/>
          <w:szCs w:val="21"/>
          <w:highlight w:val="none"/>
          <w:lang w:val="nb-NO"/>
        </w:rPr>
        <w:t>测定</w:t>
      </w:r>
      <w:r>
        <w:rPr>
          <w:rFonts w:hint="eastAsia"/>
          <w:color w:val="auto"/>
          <w:highlight w:val="none"/>
        </w:rPr>
        <w:t>超高性能</w:t>
      </w:r>
      <w:r>
        <w:rPr>
          <w:color w:val="auto"/>
          <w:szCs w:val="21"/>
          <w:highlight w:val="none"/>
          <w:lang w:val="nb-NO"/>
        </w:rPr>
        <w:t>混凝土的弹性模量。</w:t>
      </w:r>
    </w:p>
    <w:p w14:paraId="4E322D5B">
      <w:pPr>
        <w:kinsoku/>
        <w:overflowPunct/>
        <w:bidi w:val="0"/>
        <w:spacing w:before="156" w:beforeLines="50" w:line="360" w:lineRule="auto"/>
        <w:ind w:firstLine="315" w:firstLineChars="150"/>
        <w:rPr>
          <w:color w:val="auto"/>
          <w:szCs w:val="21"/>
          <w:highlight w:val="none"/>
        </w:rPr>
      </w:pPr>
      <w:r>
        <w:rPr>
          <w:color w:val="auto"/>
          <w:szCs w:val="21"/>
          <w:highlight w:val="none"/>
          <w:lang w:val="nb-NO"/>
        </w:rPr>
        <w:t>3</w:t>
      </w:r>
      <w:r>
        <w:rPr>
          <w:rFonts w:hint="eastAsia"/>
          <w:color w:val="auto"/>
          <w:szCs w:val="21"/>
          <w:highlight w:val="none"/>
          <w:lang w:val="nb-NO"/>
        </w:rPr>
        <w:t xml:space="preserve"> 在测定</w:t>
      </w:r>
      <w:r>
        <w:rPr>
          <w:rFonts w:hint="eastAsia"/>
          <w:color w:val="auto"/>
          <w:highlight w:val="none"/>
        </w:rPr>
        <w:t>超高性能</w:t>
      </w:r>
      <w:r>
        <w:rPr>
          <w:rFonts w:hint="eastAsia"/>
          <w:color w:val="auto"/>
          <w:szCs w:val="21"/>
          <w:highlight w:val="none"/>
          <w:lang w:val="nb-NO"/>
        </w:rPr>
        <w:t>混凝土弹性模量时，微变形测量仪应安装在试件两侧的中线上并对称于试件的两端。</w:t>
      </w:r>
      <w:r>
        <w:rPr>
          <w:rFonts w:hint="eastAsia"/>
          <w:color w:val="auto"/>
          <w:szCs w:val="21"/>
          <w:highlight w:val="none"/>
        </w:rPr>
        <w:t>当采用千分表或位移传感器时，应</w:t>
      </w:r>
      <w:r>
        <w:rPr>
          <w:color w:val="auto"/>
          <w:szCs w:val="21"/>
          <w:highlight w:val="none"/>
        </w:rPr>
        <w:t>将千分表或位移传感器固定在变形测量架上，试件的测量标距</w:t>
      </w:r>
      <w:r>
        <w:rPr>
          <w:rFonts w:hint="eastAsia"/>
          <w:color w:val="auto"/>
          <w:szCs w:val="21"/>
          <w:highlight w:val="none"/>
        </w:rPr>
        <w:t>应为</w:t>
      </w:r>
      <w:r>
        <w:rPr>
          <w:color w:val="auto"/>
          <w:szCs w:val="21"/>
          <w:highlight w:val="none"/>
        </w:rPr>
        <w:t>150mm，由标距定位杆定位，然后将变形测量架通过紧固螺钉固定。</w:t>
      </w:r>
    </w:p>
    <w:p w14:paraId="633DCD07">
      <w:pPr>
        <w:kinsoku/>
        <w:overflowPunct/>
        <w:bidi w:val="0"/>
        <w:spacing w:before="156" w:beforeLines="50" w:line="360" w:lineRule="auto"/>
        <w:ind w:firstLine="315" w:firstLineChars="150"/>
        <w:rPr>
          <w:color w:val="auto"/>
          <w:szCs w:val="21"/>
          <w:highlight w:val="none"/>
        </w:rPr>
      </w:pPr>
      <w:r>
        <w:rPr>
          <w:color w:val="auto"/>
          <w:szCs w:val="21"/>
          <w:highlight w:val="none"/>
        </w:rPr>
        <w:t>当采用电阻应变仪测量变形时，</w:t>
      </w:r>
      <w:r>
        <w:rPr>
          <w:rFonts w:hint="eastAsia"/>
          <w:color w:val="auto"/>
          <w:szCs w:val="21"/>
          <w:highlight w:val="none"/>
        </w:rPr>
        <w:t>应变片的标距应为150mm，</w:t>
      </w:r>
      <w:r>
        <w:rPr>
          <w:color w:val="auto"/>
          <w:szCs w:val="21"/>
          <w:highlight w:val="none"/>
        </w:rPr>
        <w:t>试件从养护室取出后，</w:t>
      </w:r>
      <w:r>
        <w:rPr>
          <w:rFonts w:hint="eastAsia"/>
          <w:color w:val="auto"/>
          <w:szCs w:val="21"/>
          <w:highlight w:val="none"/>
        </w:rPr>
        <w:t>应对贴应变片区域的试件表面缺陷进行处理，可采用电吹风吹干试件表面后，</w:t>
      </w:r>
      <w:r>
        <w:rPr>
          <w:color w:val="auto"/>
          <w:szCs w:val="21"/>
          <w:highlight w:val="none"/>
        </w:rPr>
        <w:t>尽快在试件</w:t>
      </w:r>
      <w:r>
        <w:rPr>
          <w:rFonts w:hint="eastAsia"/>
          <w:color w:val="auto"/>
          <w:szCs w:val="21"/>
          <w:highlight w:val="none"/>
        </w:rPr>
        <w:t>的</w:t>
      </w:r>
      <w:r>
        <w:rPr>
          <w:color w:val="auto"/>
          <w:szCs w:val="21"/>
          <w:highlight w:val="none"/>
        </w:rPr>
        <w:t>两侧</w:t>
      </w:r>
      <w:r>
        <w:rPr>
          <w:rFonts w:hint="eastAsia"/>
          <w:color w:val="auto"/>
          <w:szCs w:val="21"/>
          <w:highlight w:val="none"/>
        </w:rPr>
        <w:t>中部用502胶水粘</w:t>
      </w:r>
      <w:r>
        <w:rPr>
          <w:color w:val="auto"/>
          <w:szCs w:val="21"/>
          <w:highlight w:val="none"/>
        </w:rPr>
        <w:t>贴应变片。</w:t>
      </w:r>
    </w:p>
    <w:p w14:paraId="54EF8020">
      <w:pPr>
        <w:kinsoku/>
        <w:overflowPunct/>
        <w:bidi w:val="0"/>
        <w:spacing w:before="156" w:beforeLines="50" w:line="360" w:lineRule="auto"/>
        <w:ind w:firstLine="315" w:firstLineChars="150"/>
        <w:rPr>
          <w:color w:val="auto"/>
          <w:szCs w:val="21"/>
          <w:highlight w:val="none"/>
        </w:rPr>
      </w:pPr>
      <w:r>
        <w:rPr>
          <w:color w:val="auto"/>
          <w:szCs w:val="21"/>
          <w:highlight w:val="none"/>
        </w:rPr>
        <w:t xml:space="preserve">4 </w:t>
      </w:r>
      <w:r>
        <w:rPr>
          <w:rFonts w:hint="eastAsia"/>
          <w:color w:val="auto"/>
          <w:szCs w:val="21"/>
          <w:highlight w:val="none"/>
        </w:rPr>
        <w:t>试件放置试验机前，应将试件表面与上、下承压板面擦拭干净。</w:t>
      </w:r>
    </w:p>
    <w:p w14:paraId="03132BC3">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5</w:t>
      </w:r>
      <w:r>
        <w:rPr>
          <w:rFonts w:hint="eastAsia"/>
          <w:color w:val="auto"/>
          <w:szCs w:val="21"/>
          <w:highlight w:val="none"/>
          <w:lang w:val="nb-NO"/>
        </w:rPr>
        <w:t xml:space="preserve"> </w:t>
      </w:r>
      <w:r>
        <w:rPr>
          <w:color w:val="auto"/>
          <w:szCs w:val="21"/>
          <w:highlight w:val="none"/>
          <w:lang w:val="nb-NO"/>
        </w:rPr>
        <w:t>将试件直立放置在试验机的下压板或钢垫板上，并使试件轴心与下压板中心对准</w:t>
      </w:r>
      <w:r>
        <w:rPr>
          <w:rFonts w:hint="eastAsia"/>
          <w:color w:val="auto"/>
          <w:szCs w:val="21"/>
          <w:highlight w:val="none"/>
          <w:lang w:val="nb-NO"/>
        </w:rPr>
        <w:t>。</w:t>
      </w:r>
    </w:p>
    <w:p w14:paraId="11828D0B">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6</w:t>
      </w:r>
      <w:r>
        <w:rPr>
          <w:rFonts w:hint="eastAsia"/>
          <w:color w:val="auto"/>
          <w:szCs w:val="21"/>
          <w:highlight w:val="none"/>
          <w:lang w:val="nb-NO"/>
        </w:rPr>
        <w:t xml:space="preserve"> </w:t>
      </w:r>
      <w:r>
        <w:rPr>
          <w:color w:val="auto"/>
          <w:szCs w:val="21"/>
          <w:highlight w:val="none"/>
          <w:lang w:val="nb-NO"/>
        </w:rPr>
        <w:t>开动试验机，</w:t>
      </w:r>
      <w:r>
        <w:rPr>
          <w:rFonts w:hint="eastAsia"/>
          <w:color w:val="auto"/>
          <w:szCs w:val="21"/>
          <w:highlight w:val="none"/>
          <w:lang w:val="nb-NO"/>
        </w:rPr>
        <w:t>试件表面与上下承压板或钢垫板应均匀接触。</w:t>
      </w:r>
    </w:p>
    <w:p w14:paraId="58699120">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7</w:t>
      </w:r>
      <w:r>
        <w:rPr>
          <w:rFonts w:hint="eastAsia"/>
          <w:color w:val="auto"/>
          <w:szCs w:val="21"/>
          <w:highlight w:val="none"/>
          <w:lang w:val="nb-NO"/>
        </w:rPr>
        <w:t xml:space="preserve"> 加荷至</w:t>
      </w:r>
      <w:r>
        <w:rPr>
          <w:color w:val="auto"/>
          <w:szCs w:val="21"/>
          <w:highlight w:val="none"/>
          <w:lang w:val="nb-NO"/>
        </w:rPr>
        <w:t>基准应力为0.5MPa的初始荷载值</w:t>
      </w:r>
      <w:r>
        <w:rPr>
          <w:i/>
          <w:color w:val="auto"/>
          <w:szCs w:val="21"/>
          <w:highlight w:val="none"/>
          <w:lang w:val="nb-NO"/>
        </w:rPr>
        <w:t>F</w:t>
      </w:r>
      <w:r>
        <w:rPr>
          <w:color w:val="auto"/>
          <w:szCs w:val="21"/>
          <w:highlight w:val="none"/>
          <w:vertAlign w:val="subscript"/>
          <w:lang w:val="nb-NO"/>
        </w:rPr>
        <w:t>0</w:t>
      </w:r>
      <w:r>
        <w:rPr>
          <w:color w:val="auto"/>
          <w:szCs w:val="21"/>
          <w:highlight w:val="none"/>
          <w:lang w:val="nb-NO"/>
        </w:rPr>
        <w:t>，保持恒载60s并在以后的30s内记录每测点的变形读数</w:t>
      </w:r>
      <w:r>
        <w:rPr>
          <w:i/>
          <w:color w:val="auto"/>
          <w:szCs w:val="21"/>
          <w:highlight w:val="none"/>
          <w:lang w:val="nb-NO"/>
        </w:rPr>
        <w:t>ε</w:t>
      </w:r>
      <w:r>
        <w:rPr>
          <w:color w:val="auto"/>
          <w:szCs w:val="21"/>
          <w:highlight w:val="none"/>
          <w:vertAlign w:val="subscript"/>
          <w:lang w:val="nb-NO"/>
        </w:rPr>
        <w:t>0</w:t>
      </w:r>
      <w:r>
        <w:rPr>
          <w:color w:val="auto"/>
          <w:szCs w:val="21"/>
          <w:highlight w:val="none"/>
          <w:lang w:val="nb-NO"/>
        </w:rPr>
        <w:t>。应立即连续均匀地加荷至应力为轴心抗压强度</w:t>
      </w:r>
      <w:r>
        <w:rPr>
          <w:i/>
          <w:color w:val="auto"/>
          <w:szCs w:val="21"/>
          <w:highlight w:val="none"/>
          <w:lang w:val="nb-NO"/>
        </w:rPr>
        <w:t>f</w:t>
      </w:r>
      <w:r>
        <w:rPr>
          <w:color w:val="auto"/>
          <w:szCs w:val="21"/>
          <w:highlight w:val="none"/>
          <w:vertAlign w:val="subscript"/>
          <w:lang w:val="nb-NO"/>
        </w:rPr>
        <w:t>cp</w:t>
      </w:r>
      <w:r>
        <w:rPr>
          <w:color w:val="auto"/>
          <w:szCs w:val="21"/>
          <w:highlight w:val="none"/>
          <w:lang w:val="nb-NO"/>
        </w:rPr>
        <w:t>的1/3的荷载值</w:t>
      </w:r>
      <w:r>
        <w:rPr>
          <w:i/>
          <w:color w:val="auto"/>
          <w:szCs w:val="21"/>
          <w:highlight w:val="none"/>
          <w:lang w:val="nb-NO"/>
        </w:rPr>
        <w:t>F</w:t>
      </w:r>
      <w:r>
        <w:rPr>
          <w:color w:val="auto"/>
          <w:szCs w:val="21"/>
          <w:highlight w:val="none"/>
          <w:vertAlign w:val="subscript"/>
          <w:lang w:val="nb-NO"/>
        </w:rPr>
        <w:t>a</w:t>
      </w:r>
      <w:r>
        <w:rPr>
          <w:color w:val="auto"/>
          <w:szCs w:val="21"/>
          <w:highlight w:val="none"/>
          <w:lang w:val="nb-NO"/>
        </w:rPr>
        <w:t>，保持恒载60s并在以后的30s内记录每一测点的变形读数</w:t>
      </w:r>
      <w:r>
        <w:rPr>
          <w:i/>
          <w:color w:val="auto"/>
          <w:szCs w:val="21"/>
          <w:highlight w:val="none"/>
          <w:lang w:val="nb-NO"/>
        </w:rPr>
        <w:t>ε</w:t>
      </w:r>
      <w:r>
        <w:rPr>
          <w:color w:val="auto"/>
          <w:szCs w:val="21"/>
          <w:highlight w:val="none"/>
          <w:vertAlign w:val="subscript"/>
          <w:lang w:val="nb-NO"/>
        </w:rPr>
        <w:t>a</w:t>
      </w:r>
      <w:r>
        <w:rPr>
          <w:color w:val="auto"/>
          <w:szCs w:val="21"/>
          <w:highlight w:val="none"/>
          <w:lang w:val="nb-NO"/>
        </w:rPr>
        <w:t>。</w:t>
      </w:r>
      <w:r>
        <w:rPr>
          <w:rFonts w:hint="eastAsia"/>
          <w:color w:val="auto"/>
          <w:szCs w:val="21"/>
          <w:highlight w:val="none"/>
          <w:lang w:val="nb-NO"/>
        </w:rPr>
        <w:t>所用的加荷速度应符合本标准第6.2.3条中第5款的规定。</w:t>
      </w:r>
    </w:p>
    <w:p w14:paraId="64F156F5">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8</w:t>
      </w:r>
      <w:r>
        <w:rPr>
          <w:rFonts w:hint="eastAsia"/>
          <w:color w:val="auto"/>
          <w:szCs w:val="21"/>
          <w:highlight w:val="none"/>
          <w:lang w:val="nb-NO"/>
        </w:rPr>
        <w:t xml:space="preserve"> 左右两侧的变形值之差与它们平均值之比大于20%时，应重新对中试件后重复本条第6款和第7款的规定。</w:t>
      </w:r>
      <w:r>
        <w:rPr>
          <w:color w:val="auto"/>
          <w:szCs w:val="21"/>
          <w:highlight w:val="none"/>
          <w:lang w:val="nb-NO"/>
        </w:rPr>
        <w:t>如果无法使其减少到</w:t>
      </w:r>
      <w:r>
        <w:rPr>
          <w:rFonts w:hint="eastAsia"/>
          <w:color w:val="auto"/>
          <w:szCs w:val="21"/>
          <w:highlight w:val="none"/>
          <w:lang w:val="nb-NO"/>
        </w:rPr>
        <w:t>小于</w:t>
      </w:r>
      <w:r>
        <w:rPr>
          <w:color w:val="auto"/>
          <w:szCs w:val="21"/>
          <w:highlight w:val="none"/>
          <w:lang w:val="nb-NO"/>
        </w:rPr>
        <w:t>20%时，则此次试验无效。</w:t>
      </w:r>
    </w:p>
    <w:p w14:paraId="19A1E925">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9</w:t>
      </w:r>
      <w:r>
        <w:rPr>
          <w:rFonts w:hint="eastAsia"/>
          <w:color w:val="auto"/>
          <w:szCs w:val="21"/>
          <w:highlight w:val="none"/>
          <w:lang w:val="nb-NO"/>
        </w:rPr>
        <w:t xml:space="preserve"> </w:t>
      </w:r>
      <w:r>
        <w:rPr>
          <w:color w:val="auto"/>
          <w:szCs w:val="21"/>
          <w:highlight w:val="none"/>
          <w:lang w:val="nb-NO"/>
        </w:rPr>
        <w:t>在确认试件对中符合本条第</w:t>
      </w:r>
      <w:r>
        <w:rPr>
          <w:rFonts w:hint="eastAsia"/>
          <w:color w:val="auto"/>
          <w:szCs w:val="21"/>
          <w:highlight w:val="none"/>
          <w:lang w:val="nb-NO"/>
        </w:rPr>
        <w:t>8</w:t>
      </w:r>
      <w:r>
        <w:rPr>
          <w:color w:val="auto"/>
          <w:szCs w:val="21"/>
          <w:highlight w:val="none"/>
          <w:lang w:val="nb-NO"/>
        </w:rPr>
        <w:t>款规定后，以与加荷速度相同的速度卸荷至基准应力0.5MPa(</w:t>
      </w:r>
      <w:r>
        <w:rPr>
          <w:i/>
          <w:color w:val="auto"/>
          <w:szCs w:val="21"/>
          <w:highlight w:val="none"/>
          <w:lang w:val="nb-NO"/>
        </w:rPr>
        <w:t>F</w:t>
      </w:r>
      <w:r>
        <w:rPr>
          <w:color w:val="auto"/>
          <w:szCs w:val="21"/>
          <w:highlight w:val="none"/>
          <w:vertAlign w:val="subscript"/>
          <w:lang w:val="nb-NO"/>
        </w:rPr>
        <w:t>0</w:t>
      </w:r>
      <w:r>
        <w:rPr>
          <w:color w:val="auto"/>
          <w:szCs w:val="21"/>
          <w:highlight w:val="none"/>
          <w:lang w:val="nb-NO"/>
        </w:rPr>
        <w:t>)，恒载60s；然后用同样的加荷和卸荷速度以及60s的保持恒载(</w:t>
      </w:r>
      <w:r>
        <w:rPr>
          <w:i/>
          <w:color w:val="auto"/>
          <w:szCs w:val="21"/>
          <w:highlight w:val="none"/>
          <w:lang w:val="nb-NO"/>
        </w:rPr>
        <w:t>F</w:t>
      </w:r>
      <w:r>
        <w:rPr>
          <w:color w:val="auto"/>
          <w:szCs w:val="21"/>
          <w:highlight w:val="none"/>
          <w:vertAlign w:val="subscript"/>
          <w:lang w:val="nb-NO"/>
        </w:rPr>
        <w:t>0</w:t>
      </w:r>
      <w:r>
        <w:rPr>
          <w:color w:val="auto"/>
          <w:szCs w:val="21"/>
          <w:highlight w:val="none"/>
          <w:lang w:val="nb-NO"/>
        </w:rPr>
        <w:t>及</w:t>
      </w:r>
      <w:r>
        <w:rPr>
          <w:i/>
          <w:color w:val="auto"/>
          <w:szCs w:val="21"/>
          <w:highlight w:val="none"/>
          <w:lang w:val="nb-NO"/>
        </w:rPr>
        <w:t>F</w:t>
      </w:r>
      <w:r>
        <w:rPr>
          <w:color w:val="auto"/>
          <w:szCs w:val="21"/>
          <w:highlight w:val="none"/>
          <w:vertAlign w:val="subscript"/>
          <w:lang w:val="nb-NO"/>
        </w:rPr>
        <w:t>a</w:t>
      </w:r>
      <w:r>
        <w:rPr>
          <w:color w:val="auto"/>
          <w:szCs w:val="21"/>
          <w:highlight w:val="none"/>
          <w:lang w:val="nb-NO"/>
        </w:rPr>
        <w:t>)至少进行两次反复预压。在最后一次预压完成后，在基准应力0.5MPa(</w:t>
      </w:r>
      <w:r>
        <w:rPr>
          <w:i/>
          <w:color w:val="auto"/>
          <w:szCs w:val="21"/>
          <w:highlight w:val="none"/>
          <w:lang w:val="nb-NO"/>
        </w:rPr>
        <w:t>F</w:t>
      </w:r>
      <w:r>
        <w:rPr>
          <w:color w:val="auto"/>
          <w:szCs w:val="21"/>
          <w:highlight w:val="none"/>
          <w:vertAlign w:val="subscript"/>
          <w:lang w:val="nb-NO"/>
        </w:rPr>
        <w:t>0</w:t>
      </w:r>
      <w:r>
        <w:rPr>
          <w:color w:val="auto"/>
          <w:szCs w:val="21"/>
          <w:highlight w:val="none"/>
          <w:lang w:val="nb-NO"/>
        </w:rPr>
        <w:t>)持荷60s并在以后的30s内记录每一测点的变形读数ε</w:t>
      </w:r>
      <w:r>
        <w:rPr>
          <w:color w:val="auto"/>
          <w:szCs w:val="21"/>
          <w:highlight w:val="none"/>
          <w:vertAlign w:val="subscript"/>
          <w:lang w:val="nb-NO"/>
        </w:rPr>
        <w:t>0</w:t>
      </w:r>
      <w:r>
        <w:rPr>
          <w:color w:val="auto"/>
          <w:szCs w:val="21"/>
          <w:highlight w:val="none"/>
          <w:lang w:val="nb-NO"/>
        </w:rPr>
        <w:t>；再用同样的加荷速度加荷至</w:t>
      </w:r>
      <w:r>
        <w:rPr>
          <w:i/>
          <w:color w:val="auto"/>
          <w:szCs w:val="21"/>
          <w:highlight w:val="none"/>
          <w:lang w:val="nb-NO"/>
        </w:rPr>
        <w:t>F</w:t>
      </w:r>
      <w:r>
        <w:rPr>
          <w:color w:val="auto"/>
          <w:szCs w:val="21"/>
          <w:highlight w:val="none"/>
          <w:vertAlign w:val="subscript"/>
          <w:lang w:val="nb-NO"/>
        </w:rPr>
        <w:t>a</w:t>
      </w:r>
      <w:r>
        <w:rPr>
          <w:color w:val="auto"/>
          <w:szCs w:val="21"/>
          <w:highlight w:val="none"/>
          <w:lang w:val="nb-NO"/>
        </w:rPr>
        <w:t>，持荷60s并在以后的30s内记录每一测点的变形读数ε</w:t>
      </w:r>
      <w:r>
        <w:rPr>
          <w:color w:val="auto"/>
          <w:szCs w:val="21"/>
          <w:highlight w:val="none"/>
          <w:vertAlign w:val="subscript"/>
          <w:lang w:val="nb-NO"/>
        </w:rPr>
        <w:t>a</w:t>
      </w:r>
      <w:r>
        <w:rPr>
          <w:color w:val="auto"/>
          <w:szCs w:val="21"/>
          <w:highlight w:val="none"/>
          <w:lang w:val="nb-NO"/>
        </w:rPr>
        <w:t>，</w:t>
      </w:r>
      <w:r>
        <w:rPr>
          <w:rFonts w:hint="eastAsia"/>
          <w:color w:val="auto"/>
          <w:szCs w:val="21"/>
          <w:highlight w:val="none"/>
          <w:lang w:val="nb-NO"/>
        </w:rPr>
        <w:t>如</w:t>
      </w:r>
      <w:r>
        <w:rPr>
          <w:color w:val="auto"/>
          <w:szCs w:val="21"/>
          <w:highlight w:val="none"/>
          <w:lang w:val="nb-NO"/>
        </w:rPr>
        <w:t>图6.3.</w:t>
      </w:r>
      <w:r>
        <w:rPr>
          <w:rFonts w:hint="eastAsia"/>
          <w:color w:val="auto"/>
          <w:szCs w:val="21"/>
          <w:highlight w:val="none"/>
          <w:lang w:val="nb-NO"/>
        </w:rPr>
        <w:t>3所示</w:t>
      </w:r>
      <w:r>
        <w:rPr>
          <w:color w:val="auto"/>
          <w:szCs w:val="21"/>
          <w:highlight w:val="none"/>
          <w:lang w:val="nb-NO"/>
        </w:rPr>
        <w:t>。</w:t>
      </w:r>
    </w:p>
    <w:p w14:paraId="7379F8BF">
      <w:pPr>
        <w:kinsoku/>
        <w:overflowPunct/>
        <w:bidi w:val="0"/>
        <w:spacing w:before="156" w:beforeLines="50" w:line="360" w:lineRule="auto"/>
        <w:jc w:val="center"/>
        <w:rPr>
          <w:color w:val="auto"/>
          <w:szCs w:val="21"/>
          <w:highlight w:val="none"/>
          <w:lang w:val="nb-NO"/>
        </w:rPr>
      </w:pPr>
      <w:r>
        <w:rPr>
          <w:color w:val="auto"/>
          <w:highlight w:val="none"/>
        </w:rPr>
        <w:drawing>
          <wp:inline distT="0" distB="0" distL="114300" distR="114300">
            <wp:extent cx="5063490" cy="2586355"/>
            <wp:effectExtent l="0" t="0" r="0" b="0"/>
            <wp:docPr id="48193879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38797" name="图片 32"/>
                    <pic:cNvPicPr>
                      <a:picLocks noChangeAspect="1"/>
                    </pic:cNvPicPr>
                  </pic:nvPicPr>
                  <pic:blipFill>
                    <a:blip r:embed="rId55" cstate="print"/>
                    <a:stretch>
                      <a:fillRect/>
                    </a:stretch>
                  </pic:blipFill>
                  <pic:spPr>
                    <a:xfrm>
                      <a:off x="0" y="0"/>
                      <a:ext cx="5063490" cy="2586355"/>
                    </a:xfrm>
                    <a:prstGeom prst="rect">
                      <a:avLst/>
                    </a:prstGeom>
                    <a:noFill/>
                    <a:ln w="9525">
                      <a:noFill/>
                    </a:ln>
                  </pic:spPr>
                </pic:pic>
              </a:graphicData>
            </a:graphic>
          </wp:inline>
        </w:drawing>
      </w:r>
    </w:p>
    <w:p w14:paraId="29489C18">
      <w:pPr>
        <w:kinsoku/>
        <w:overflowPunct/>
        <w:bidi w:val="0"/>
        <w:spacing w:before="156" w:beforeLines="50" w:line="360" w:lineRule="auto"/>
        <w:jc w:val="center"/>
        <w:rPr>
          <w:color w:val="auto"/>
          <w:szCs w:val="21"/>
          <w:highlight w:val="none"/>
          <w:lang w:val="nb-NO"/>
        </w:rPr>
      </w:pPr>
      <w:r>
        <w:rPr>
          <w:rFonts w:hint="eastAsia"/>
          <w:color w:val="auto"/>
          <w:szCs w:val="21"/>
          <w:highlight w:val="none"/>
          <w:lang w:val="nb-NO"/>
        </w:rPr>
        <w:t>图6.3.3 弹性模量试验加荷方法示意图</w:t>
      </w:r>
    </w:p>
    <w:p w14:paraId="6198FCFD">
      <w:pPr>
        <w:kinsoku/>
        <w:overflowPunct/>
        <w:bidi w:val="0"/>
        <w:spacing w:before="156" w:beforeLines="50" w:line="360" w:lineRule="auto"/>
        <w:ind w:firstLine="315" w:firstLineChars="150"/>
        <w:rPr>
          <w:bCs/>
          <w:color w:val="auto"/>
          <w:szCs w:val="21"/>
          <w:highlight w:val="none"/>
          <w:lang w:val="nb-NO"/>
        </w:rPr>
      </w:pPr>
      <w:r>
        <w:rPr>
          <w:bCs/>
          <w:color w:val="auto"/>
          <w:szCs w:val="21"/>
          <w:highlight w:val="none"/>
          <w:lang w:val="nb-NO"/>
        </w:rPr>
        <w:t>10</w:t>
      </w:r>
      <w:r>
        <w:rPr>
          <w:rFonts w:hint="eastAsia"/>
          <w:bCs/>
          <w:color w:val="auto"/>
          <w:szCs w:val="21"/>
          <w:highlight w:val="none"/>
          <w:lang w:val="nb-NO"/>
        </w:rPr>
        <w:t xml:space="preserve"> </w:t>
      </w:r>
      <w:r>
        <w:rPr>
          <w:bCs/>
          <w:color w:val="auto"/>
          <w:szCs w:val="21"/>
          <w:highlight w:val="none"/>
          <w:lang w:val="nb-NO"/>
        </w:rPr>
        <w:t>卸除变形测量仪，以同样的速度加荷至破坏，记录破坏荷载</w:t>
      </w:r>
      <w:r>
        <w:rPr>
          <w:rFonts w:hint="eastAsia"/>
          <w:bCs/>
          <w:color w:val="auto"/>
          <w:szCs w:val="21"/>
          <w:highlight w:val="none"/>
          <w:lang w:val="nb-NO"/>
        </w:rPr>
        <w:t>；</w:t>
      </w:r>
      <w:r>
        <w:rPr>
          <w:bCs/>
          <w:color w:val="auto"/>
          <w:szCs w:val="21"/>
          <w:highlight w:val="none"/>
          <w:lang w:val="nb-NO"/>
        </w:rPr>
        <w:t>如果</w:t>
      </w:r>
      <w:r>
        <w:rPr>
          <w:rFonts w:hint="eastAsia"/>
          <w:bCs/>
          <w:color w:val="auto"/>
          <w:szCs w:val="21"/>
          <w:highlight w:val="none"/>
          <w:lang w:val="nb-NO"/>
        </w:rPr>
        <w:t>测定弹性模量之后的</w:t>
      </w:r>
      <w:r>
        <w:rPr>
          <w:bCs/>
          <w:color w:val="auto"/>
          <w:szCs w:val="21"/>
          <w:highlight w:val="none"/>
          <w:lang w:val="nb-NO"/>
        </w:rPr>
        <w:t>试件抗压强度与</w:t>
      </w:r>
      <w:r>
        <w:rPr>
          <w:bCs/>
          <w:i/>
          <w:color w:val="auto"/>
          <w:szCs w:val="21"/>
          <w:highlight w:val="none"/>
          <w:lang w:val="nb-NO"/>
        </w:rPr>
        <w:t>f</w:t>
      </w:r>
      <w:r>
        <w:rPr>
          <w:bCs/>
          <w:color w:val="auto"/>
          <w:szCs w:val="21"/>
          <w:highlight w:val="none"/>
          <w:vertAlign w:val="subscript"/>
          <w:lang w:val="nb-NO"/>
        </w:rPr>
        <w:t>cp</w:t>
      </w:r>
      <w:r>
        <w:rPr>
          <w:bCs/>
          <w:color w:val="auto"/>
          <w:szCs w:val="21"/>
          <w:highlight w:val="none"/>
          <w:lang w:val="nb-NO"/>
        </w:rPr>
        <w:t>之差超过</w:t>
      </w:r>
      <w:r>
        <w:rPr>
          <w:bCs/>
          <w:i/>
          <w:color w:val="auto"/>
          <w:szCs w:val="21"/>
          <w:highlight w:val="none"/>
          <w:lang w:val="nb-NO"/>
        </w:rPr>
        <w:t>f</w:t>
      </w:r>
      <w:r>
        <w:rPr>
          <w:bCs/>
          <w:color w:val="auto"/>
          <w:szCs w:val="21"/>
          <w:highlight w:val="none"/>
          <w:vertAlign w:val="subscript"/>
          <w:lang w:val="nb-NO"/>
        </w:rPr>
        <w:t>cp</w:t>
      </w:r>
      <w:r>
        <w:rPr>
          <w:bCs/>
          <w:color w:val="auto"/>
          <w:szCs w:val="21"/>
          <w:highlight w:val="none"/>
          <w:lang w:val="nb-NO"/>
        </w:rPr>
        <w:t>的20%时，则应在报告中注明。</w:t>
      </w:r>
    </w:p>
    <w:p w14:paraId="452E5F8F">
      <w:pPr>
        <w:kinsoku/>
        <w:overflowPunct/>
        <w:bidi w:val="0"/>
        <w:spacing w:before="156" w:beforeLines="50" w:line="360" w:lineRule="auto"/>
        <w:rPr>
          <w:bCs/>
          <w:color w:val="auto"/>
          <w:szCs w:val="21"/>
          <w:highlight w:val="none"/>
          <w:lang w:val="nb-NO"/>
        </w:rPr>
      </w:pPr>
      <w:r>
        <w:rPr>
          <w:rFonts w:hint="eastAsia"/>
          <w:bCs/>
          <w:color w:val="auto"/>
          <w:szCs w:val="21"/>
          <w:highlight w:val="none"/>
          <w:lang w:val="nb-NO"/>
        </w:rPr>
        <w:t>6.3</w:t>
      </w:r>
      <w:r>
        <w:rPr>
          <w:bCs/>
          <w:color w:val="auto"/>
          <w:szCs w:val="21"/>
          <w:highlight w:val="none"/>
          <w:lang w:val="nb-NO"/>
        </w:rPr>
        <w:t>.</w:t>
      </w:r>
      <w:r>
        <w:rPr>
          <w:rFonts w:hint="eastAsia"/>
          <w:bCs/>
          <w:color w:val="auto"/>
          <w:szCs w:val="21"/>
          <w:highlight w:val="none"/>
          <w:lang w:val="nb-NO"/>
        </w:rPr>
        <w:t xml:space="preserve">4 </w:t>
      </w:r>
      <w:r>
        <w:rPr>
          <w:rFonts w:hint="eastAsia"/>
          <w:color w:val="auto"/>
          <w:highlight w:val="none"/>
        </w:rPr>
        <w:t>超高性能</w:t>
      </w:r>
      <w:r>
        <w:rPr>
          <w:bCs/>
          <w:color w:val="auto"/>
          <w:szCs w:val="21"/>
          <w:highlight w:val="none"/>
          <w:lang w:val="nb-NO"/>
        </w:rPr>
        <w:t>混凝土弹性模量试验结果计算及确定</w:t>
      </w:r>
      <w:r>
        <w:rPr>
          <w:rFonts w:hint="eastAsia"/>
          <w:bCs/>
          <w:color w:val="auto"/>
          <w:szCs w:val="21"/>
          <w:highlight w:val="none"/>
          <w:lang w:val="nb-NO"/>
        </w:rPr>
        <w:t>应</w:t>
      </w:r>
      <w:r>
        <w:rPr>
          <w:bCs/>
          <w:color w:val="auto"/>
          <w:szCs w:val="21"/>
          <w:highlight w:val="none"/>
          <w:lang w:val="nb-NO"/>
        </w:rPr>
        <w:t>按下列方法进行：</w:t>
      </w:r>
    </w:p>
    <w:p w14:paraId="1F14CF23">
      <w:pPr>
        <w:kinsoku/>
        <w:overflowPunct/>
        <w:bidi w:val="0"/>
        <w:spacing w:before="156" w:beforeLines="50" w:line="360" w:lineRule="auto"/>
        <w:ind w:firstLine="315" w:firstLineChars="150"/>
        <w:rPr>
          <w:color w:val="auto"/>
          <w:szCs w:val="21"/>
          <w:highlight w:val="none"/>
          <w:lang w:val="nb-NO"/>
        </w:rPr>
      </w:pPr>
      <w:r>
        <w:rPr>
          <w:bCs/>
          <w:color w:val="auto"/>
          <w:szCs w:val="21"/>
          <w:highlight w:val="none"/>
          <w:lang w:val="nb-NO"/>
        </w:rPr>
        <w:t>1</w:t>
      </w:r>
      <w:r>
        <w:rPr>
          <w:rFonts w:hint="eastAsia"/>
          <w:bCs/>
          <w:color w:val="auto"/>
          <w:szCs w:val="21"/>
          <w:highlight w:val="none"/>
          <w:lang w:val="nb-NO"/>
        </w:rPr>
        <w:t xml:space="preserve"> </w:t>
      </w:r>
      <w:r>
        <w:rPr>
          <w:rFonts w:hint="eastAsia"/>
          <w:color w:val="auto"/>
          <w:highlight w:val="none"/>
        </w:rPr>
        <w:t>超高性能</w:t>
      </w:r>
      <w:r>
        <w:rPr>
          <w:bCs/>
          <w:color w:val="auto"/>
          <w:szCs w:val="21"/>
          <w:highlight w:val="none"/>
          <w:lang w:val="nb-NO"/>
        </w:rPr>
        <w:t>混凝土弹性</w:t>
      </w:r>
      <w:r>
        <w:rPr>
          <w:color w:val="auto"/>
          <w:szCs w:val="21"/>
          <w:highlight w:val="none"/>
          <w:lang w:val="nb-NO"/>
        </w:rPr>
        <w:t>模量值应按下式计算：</w:t>
      </w:r>
    </w:p>
    <w:p w14:paraId="7C5B318D">
      <w:pPr>
        <w:tabs>
          <w:tab w:val="left" w:pos="210"/>
        </w:tabs>
        <w:kinsoku/>
        <w:overflowPunct/>
        <w:bidi w:val="0"/>
        <w:spacing w:before="156" w:beforeLines="50" w:line="360" w:lineRule="auto"/>
        <w:ind w:firstLine="315" w:firstLineChars="150"/>
        <w:jc w:val="right"/>
        <w:rPr>
          <w:color w:val="auto"/>
          <w:szCs w:val="21"/>
          <w:highlight w:val="none"/>
          <w:lang w:val="nb-NO"/>
        </w:rPr>
      </w:pPr>
      <w:r>
        <w:rPr>
          <w:rFonts w:hint="eastAsia"/>
          <w:color w:val="auto"/>
          <w:position w:val="-24"/>
          <w:szCs w:val="21"/>
          <w:highlight w:val="none"/>
          <w:lang w:val="nb-NO"/>
        </w:rPr>
        <w:object>
          <v:shape id="_x0000_i1044" o:spt="75" type="#_x0000_t75" style="height:29.95pt;width:87.2pt;" o:ole="t" filled="f" o:preferrelative="t" stroked="f" coordsize="21600,21600">
            <v:path/>
            <v:fill on="f" focussize="0,0"/>
            <v:stroke on="f" joinstyle="miter"/>
            <v:imagedata r:id="rId57" o:title=""/>
            <o:lock v:ext="edit" aspectratio="t"/>
            <w10:wrap type="none"/>
            <w10:anchorlock/>
          </v:shape>
          <o:OLEObject Type="Embed" ProgID="Equation.DSMT4" ShapeID="_x0000_i1044" DrawAspect="Content" ObjectID="_1468075744" r:id="rId56">
            <o:LockedField>false</o:LockedField>
          </o:OLEObject>
        </w:object>
      </w:r>
      <w:r>
        <w:rPr>
          <w:color w:val="auto"/>
          <w:szCs w:val="21"/>
          <w:highlight w:val="none"/>
          <w:lang w:val="nb-NO"/>
        </w:rPr>
        <w:t xml:space="preserve">       </w:t>
      </w:r>
      <w:r>
        <w:rPr>
          <w:rFonts w:hint="eastAsia"/>
          <w:color w:val="auto"/>
          <w:szCs w:val="21"/>
          <w:highlight w:val="none"/>
          <w:lang w:val="nb-NO"/>
        </w:rPr>
        <w:t xml:space="preserve">      </w:t>
      </w:r>
      <w:r>
        <w:rPr>
          <w:color w:val="auto"/>
          <w:szCs w:val="21"/>
          <w:highlight w:val="none"/>
          <w:lang w:val="nb-NO"/>
        </w:rPr>
        <w:t xml:space="preserve">              </w:t>
      </w:r>
      <w:r>
        <w:rPr>
          <w:rFonts w:hint="eastAsia"/>
          <w:color w:val="auto"/>
          <w:szCs w:val="21"/>
          <w:highlight w:val="none"/>
          <w:lang w:val="nb-NO"/>
        </w:rPr>
        <w:t>（</w:t>
      </w:r>
      <w:r>
        <w:rPr>
          <w:color w:val="auto"/>
          <w:szCs w:val="21"/>
          <w:highlight w:val="none"/>
          <w:lang w:val="nb-NO"/>
        </w:rPr>
        <w:t>6.3.</w:t>
      </w:r>
      <w:r>
        <w:rPr>
          <w:rFonts w:hint="eastAsia"/>
          <w:color w:val="auto"/>
          <w:szCs w:val="21"/>
          <w:highlight w:val="none"/>
          <w:lang w:val="nb-NO"/>
        </w:rPr>
        <w:t>4</w:t>
      </w:r>
      <w:r>
        <w:rPr>
          <w:color w:val="auto"/>
          <w:szCs w:val="21"/>
          <w:highlight w:val="none"/>
          <w:lang w:val="nb-NO"/>
        </w:rPr>
        <w:t>-1</w:t>
      </w:r>
      <w:r>
        <w:rPr>
          <w:rFonts w:hint="eastAsia"/>
          <w:color w:val="auto"/>
          <w:szCs w:val="21"/>
          <w:highlight w:val="none"/>
          <w:lang w:val="nb-NO"/>
        </w:rPr>
        <w:t>）</w:t>
      </w:r>
    </w:p>
    <w:p w14:paraId="0BCB2D62">
      <w:pPr>
        <w:kinsoku/>
        <w:overflowPunct/>
        <w:bidi w:val="0"/>
        <w:spacing w:line="360" w:lineRule="auto"/>
        <w:ind w:firstLine="420"/>
        <w:jc w:val="right"/>
        <w:rPr>
          <w:color w:val="auto"/>
          <w:szCs w:val="21"/>
          <w:highlight w:val="none"/>
          <w:lang w:val="nb-NO"/>
        </w:rPr>
      </w:pPr>
      <w:r>
        <w:rPr>
          <w:rFonts w:hint="eastAsia"/>
          <w:color w:val="auto"/>
          <w:position w:val="-12"/>
          <w:szCs w:val="21"/>
          <w:highlight w:val="none"/>
          <w:lang w:val="nb-NO"/>
        </w:rPr>
        <w:object>
          <v:shape id="_x0000_i1045" o:spt="75" type="#_x0000_t75" style="height:19.05pt;width:59.95pt;" o:ole="t" filled="f" o:preferrelative="t" stroked="f" coordsize="21600,21600">
            <v:path/>
            <v:fill on="f" focussize="0,0"/>
            <v:stroke on="f" joinstyle="miter"/>
            <v:imagedata r:id="rId59" o:title=""/>
            <o:lock v:ext="edit" aspectratio="t"/>
            <w10:wrap type="none"/>
            <w10:anchorlock/>
          </v:shape>
          <o:OLEObject Type="Embed" ProgID="Equation.DSMT4" ShapeID="_x0000_i1045" DrawAspect="Content" ObjectID="_1468075745" r:id="rId58">
            <o:LockedField>false</o:LockedField>
          </o:OLEObject>
        </w:object>
      </w:r>
      <w:r>
        <w:rPr>
          <w:color w:val="auto"/>
          <w:szCs w:val="21"/>
          <w:highlight w:val="none"/>
          <w:lang w:val="nb-NO"/>
        </w:rPr>
        <w:t xml:space="preserve">                             </w:t>
      </w:r>
      <w:r>
        <w:rPr>
          <w:rFonts w:hint="eastAsia"/>
          <w:color w:val="auto"/>
          <w:szCs w:val="21"/>
          <w:highlight w:val="none"/>
          <w:lang w:val="nb-NO"/>
        </w:rPr>
        <w:t>（</w:t>
      </w:r>
      <w:r>
        <w:rPr>
          <w:color w:val="auto"/>
          <w:szCs w:val="21"/>
          <w:highlight w:val="none"/>
          <w:lang w:val="nb-NO"/>
        </w:rPr>
        <w:t>6.3.</w:t>
      </w:r>
      <w:r>
        <w:rPr>
          <w:rFonts w:hint="eastAsia"/>
          <w:color w:val="auto"/>
          <w:szCs w:val="21"/>
          <w:highlight w:val="none"/>
          <w:lang w:val="nb-NO"/>
        </w:rPr>
        <w:t>4</w:t>
      </w:r>
      <w:r>
        <w:rPr>
          <w:color w:val="auto"/>
          <w:szCs w:val="21"/>
          <w:highlight w:val="none"/>
          <w:lang w:val="nb-NO"/>
        </w:rPr>
        <w:t>-2</w:t>
      </w:r>
      <w:r>
        <w:rPr>
          <w:rFonts w:hint="eastAsia"/>
          <w:color w:val="auto"/>
          <w:szCs w:val="21"/>
          <w:highlight w:val="none"/>
          <w:lang w:val="nb-NO"/>
        </w:rPr>
        <w:t>）</w:t>
      </w:r>
    </w:p>
    <w:p w14:paraId="0C98CEE3">
      <w:pPr>
        <w:kinsoku/>
        <w:overflowPunct/>
        <w:bidi w:val="0"/>
        <w:spacing w:line="360" w:lineRule="auto"/>
        <w:rPr>
          <w:color w:val="auto"/>
          <w:szCs w:val="21"/>
          <w:highlight w:val="none"/>
          <w:lang w:val="nb-NO"/>
        </w:rPr>
      </w:pPr>
      <w:r>
        <w:rPr>
          <w:color w:val="auto"/>
          <w:szCs w:val="21"/>
          <w:highlight w:val="none"/>
          <w:lang w:val="nb-NO"/>
        </w:rPr>
        <w:t>式中</w:t>
      </w:r>
      <w:r>
        <w:rPr>
          <w:rFonts w:hint="eastAsia"/>
          <w:color w:val="auto"/>
          <w:szCs w:val="21"/>
          <w:highlight w:val="none"/>
          <w:lang w:val="nb-NO"/>
        </w:rPr>
        <w:t>：</w:t>
      </w:r>
      <w:r>
        <w:rPr>
          <w:i/>
          <w:color w:val="auto"/>
          <w:szCs w:val="21"/>
          <w:highlight w:val="none"/>
          <w:lang w:val="nb-NO"/>
        </w:rPr>
        <w:t>E</w:t>
      </w:r>
      <w:r>
        <w:rPr>
          <w:color w:val="auto"/>
          <w:szCs w:val="21"/>
          <w:highlight w:val="none"/>
          <w:vertAlign w:val="subscript"/>
          <w:lang w:val="nb-NO"/>
        </w:rPr>
        <w:t>c</w:t>
      </w:r>
      <w:r>
        <w:rPr>
          <w:color w:val="auto"/>
          <w:szCs w:val="21"/>
          <w:highlight w:val="none"/>
          <w:lang w:val="nb-NO"/>
        </w:rPr>
        <w:t>——</w:t>
      </w:r>
      <w:r>
        <w:rPr>
          <w:rFonts w:hint="eastAsia"/>
          <w:color w:val="auto"/>
          <w:highlight w:val="none"/>
        </w:rPr>
        <w:t>超高性能</w:t>
      </w:r>
      <w:r>
        <w:rPr>
          <w:color w:val="auto"/>
          <w:szCs w:val="21"/>
          <w:highlight w:val="none"/>
          <w:lang w:val="nb-NO"/>
        </w:rPr>
        <w:t>混凝土弹性模量</w:t>
      </w:r>
      <w:r>
        <w:rPr>
          <w:rFonts w:hint="eastAsia"/>
          <w:color w:val="auto"/>
          <w:szCs w:val="21"/>
          <w:highlight w:val="none"/>
          <w:lang w:val="nb-NO"/>
        </w:rPr>
        <w:t>（</w:t>
      </w:r>
      <w:r>
        <w:rPr>
          <w:color w:val="auto"/>
          <w:szCs w:val="21"/>
          <w:highlight w:val="none"/>
          <w:lang w:val="nb-NO"/>
        </w:rPr>
        <w:t>MPa</w:t>
      </w:r>
      <w:r>
        <w:rPr>
          <w:rFonts w:hint="eastAsia"/>
          <w:color w:val="auto"/>
          <w:szCs w:val="21"/>
          <w:highlight w:val="none"/>
          <w:lang w:val="nb-NO"/>
        </w:rPr>
        <w:t>），计算结果应精确至100MPa；</w:t>
      </w:r>
    </w:p>
    <w:p w14:paraId="5D459C7A">
      <w:pPr>
        <w:kinsoku/>
        <w:overflowPunct/>
        <w:bidi w:val="0"/>
        <w:spacing w:line="360" w:lineRule="auto"/>
        <w:rPr>
          <w:color w:val="auto"/>
          <w:szCs w:val="21"/>
          <w:highlight w:val="none"/>
          <w:lang w:val="nb-NO"/>
        </w:rPr>
      </w:pPr>
      <w:r>
        <w:rPr>
          <w:rFonts w:hint="eastAsia"/>
          <w:color w:val="auto"/>
          <w:position w:val="-12"/>
          <w:szCs w:val="21"/>
          <w:highlight w:val="none"/>
          <w:lang w:val="nb-NO"/>
        </w:rPr>
        <w:t xml:space="preserve">      </w:t>
      </w:r>
      <w:r>
        <w:rPr>
          <w:i/>
          <w:color w:val="auto"/>
          <w:szCs w:val="21"/>
          <w:highlight w:val="none"/>
          <w:lang w:val="nb-NO"/>
        </w:rPr>
        <w:t>F</w:t>
      </w:r>
      <w:r>
        <w:rPr>
          <w:color w:val="auto"/>
          <w:szCs w:val="21"/>
          <w:highlight w:val="none"/>
          <w:vertAlign w:val="subscript"/>
          <w:lang w:val="nb-NO"/>
        </w:rPr>
        <w:t>a</w:t>
      </w:r>
      <w:r>
        <w:rPr>
          <w:color w:val="auto"/>
          <w:szCs w:val="21"/>
          <w:highlight w:val="none"/>
          <w:lang w:val="nb-NO"/>
        </w:rPr>
        <w:t>——应力为1/3轴心抗压强度时的荷载</w:t>
      </w:r>
      <w:r>
        <w:rPr>
          <w:rFonts w:hint="eastAsia"/>
          <w:color w:val="auto"/>
          <w:szCs w:val="21"/>
          <w:highlight w:val="none"/>
          <w:lang w:val="nb-NO"/>
        </w:rPr>
        <w:t>（</w:t>
      </w:r>
      <w:r>
        <w:rPr>
          <w:color w:val="auto"/>
          <w:szCs w:val="21"/>
          <w:highlight w:val="none"/>
          <w:lang w:val="nb-NO"/>
        </w:rPr>
        <w:t>N</w:t>
      </w:r>
      <w:r>
        <w:rPr>
          <w:rFonts w:hint="eastAsia"/>
          <w:color w:val="auto"/>
          <w:szCs w:val="21"/>
          <w:highlight w:val="none"/>
          <w:lang w:val="nb-NO"/>
        </w:rPr>
        <w:t>）</w:t>
      </w:r>
      <w:r>
        <w:rPr>
          <w:color w:val="auto"/>
          <w:szCs w:val="21"/>
          <w:highlight w:val="none"/>
          <w:lang w:val="nb-NO"/>
        </w:rPr>
        <w:t>；</w:t>
      </w:r>
    </w:p>
    <w:p w14:paraId="5290CF22">
      <w:pPr>
        <w:kinsoku/>
        <w:overflowPunct/>
        <w:bidi w:val="0"/>
        <w:spacing w:line="360" w:lineRule="auto"/>
        <w:rPr>
          <w:color w:val="auto"/>
          <w:szCs w:val="21"/>
          <w:highlight w:val="none"/>
          <w:lang w:val="nb-NO"/>
        </w:rPr>
      </w:pPr>
      <w:r>
        <w:rPr>
          <w:rFonts w:hint="eastAsia"/>
          <w:color w:val="auto"/>
          <w:position w:val="-12"/>
          <w:szCs w:val="21"/>
          <w:highlight w:val="none"/>
          <w:lang w:val="nb-NO"/>
        </w:rPr>
        <w:t xml:space="preserve">      </w:t>
      </w:r>
      <w:r>
        <w:rPr>
          <w:i/>
          <w:color w:val="auto"/>
          <w:szCs w:val="21"/>
          <w:highlight w:val="none"/>
          <w:lang w:val="nb-NO"/>
        </w:rPr>
        <w:t>F</w:t>
      </w:r>
      <w:r>
        <w:rPr>
          <w:color w:val="auto"/>
          <w:szCs w:val="21"/>
          <w:highlight w:val="none"/>
          <w:vertAlign w:val="subscript"/>
          <w:lang w:val="nb-NO"/>
        </w:rPr>
        <w:t>0</w:t>
      </w:r>
      <w:r>
        <w:rPr>
          <w:color w:val="auto"/>
          <w:szCs w:val="21"/>
          <w:highlight w:val="none"/>
          <w:lang w:val="nb-NO"/>
        </w:rPr>
        <w:t>——应力为0.5MPa时的初始荷载</w:t>
      </w:r>
      <w:r>
        <w:rPr>
          <w:rFonts w:hint="eastAsia"/>
          <w:color w:val="auto"/>
          <w:szCs w:val="21"/>
          <w:highlight w:val="none"/>
          <w:lang w:val="nb-NO"/>
        </w:rPr>
        <w:t>（</w:t>
      </w:r>
      <w:r>
        <w:rPr>
          <w:color w:val="auto"/>
          <w:szCs w:val="21"/>
          <w:highlight w:val="none"/>
          <w:lang w:val="nb-NO"/>
        </w:rPr>
        <w:t>N</w:t>
      </w:r>
      <w:r>
        <w:rPr>
          <w:rFonts w:hint="eastAsia"/>
          <w:color w:val="auto"/>
          <w:szCs w:val="21"/>
          <w:highlight w:val="none"/>
          <w:lang w:val="nb-NO"/>
        </w:rPr>
        <w:t>）</w:t>
      </w:r>
      <w:r>
        <w:rPr>
          <w:color w:val="auto"/>
          <w:szCs w:val="21"/>
          <w:highlight w:val="none"/>
          <w:lang w:val="nb-NO"/>
        </w:rPr>
        <w:t>；</w:t>
      </w:r>
    </w:p>
    <w:p w14:paraId="18672AE3">
      <w:pPr>
        <w:kinsoku/>
        <w:overflowPunct/>
        <w:bidi w:val="0"/>
        <w:spacing w:line="360" w:lineRule="auto"/>
        <w:rPr>
          <w:color w:val="auto"/>
          <w:szCs w:val="21"/>
          <w:highlight w:val="none"/>
          <w:lang w:val="nb-NO"/>
        </w:rPr>
      </w:pPr>
      <w:r>
        <w:rPr>
          <w:rFonts w:hint="eastAsia"/>
          <w:i/>
          <w:color w:val="auto"/>
          <w:szCs w:val="21"/>
          <w:highlight w:val="none"/>
          <w:lang w:val="nb-NO"/>
        </w:rPr>
        <w:t xml:space="preserve">      </w:t>
      </w:r>
      <w:r>
        <w:rPr>
          <w:i/>
          <w:color w:val="auto"/>
          <w:szCs w:val="21"/>
          <w:highlight w:val="none"/>
          <w:lang w:val="nb-NO"/>
        </w:rPr>
        <w:t>A</w:t>
      </w:r>
      <w:r>
        <w:rPr>
          <w:color w:val="auto"/>
          <w:szCs w:val="21"/>
          <w:highlight w:val="none"/>
          <w:lang w:val="nb-NO"/>
        </w:rPr>
        <w:t>——试件承压面积</w:t>
      </w:r>
      <w:r>
        <w:rPr>
          <w:rFonts w:hint="eastAsia"/>
          <w:color w:val="auto"/>
          <w:szCs w:val="21"/>
          <w:highlight w:val="none"/>
          <w:lang w:val="nb-NO"/>
        </w:rPr>
        <w:t>（</w:t>
      </w:r>
      <w:r>
        <w:rPr>
          <w:color w:val="auto"/>
          <w:szCs w:val="21"/>
          <w:highlight w:val="none"/>
          <w:lang w:val="nb-NO"/>
        </w:rPr>
        <w:t>mm</w:t>
      </w:r>
      <w:r>
        <w:rPr>
          <w:rFonts w:hint="eastAsia"/>
          <w:color w:val="auto"/>
          <w:szCs w:val="21"/>
          <w:highlight w:val="none"/>
          <w:vertAlign w:val="superscript"/>
        </w:rPr>
        <w:t>2</w:t>
      </w:r>
      <w:r>
        <w:rPr>
          <w:rFonts w:hint="eastAsia"/>
          <w:color w:val="auto"/>
          <w:szCs w:val="21"/>
          <w:highlight w:val="none"/>
        </w:rPr>
        <w:t>）</w:t>
      </w:r>
      <w:r>
        <w:rPr>
          <w:color w:val="auto"/>
          <w:szCs w:val="21"/>
          <w:highlight w:val="none"/>
          <w:lang w:val="nb-NO"/>
        </w:rPr>
        <w:t>；</w:t>
      </w:r>
    </w:p>
    <w:p w14:paraId="48E510A5">
      <w:pPr>
        <w:kinsoku/>
        <w:overflowPunct/>
        <w:bidi w:val="0"/>
        <w:spacing w:line="360" w:lineRule="auto"/>
        <w:ind w:firstLine="630" w:firstLineChars="300"/>
        <w:rPr>
          <w:color w:val="auto"/>
          <w:szCs w:val="21"/>
          <w:highlight w:val="none"/>
          <w:lang w:val="nb-NO"/>
        </w:rPr>
      </w:pPr>
      <w:r>
        <w:rPr>
          <w:i/>
          <w:color w:val="auto"/>
          <w:szCs w:val="21"/>
          <w:highlight w:val="none"/>
          <w:lang w:val="nb-NO"/>
        </w:rPr>
        <w:t>L</w:t>
      </w:r>
      <w:r>
        <w:rPr>
          <w:color w:val="auto"/>
          <w:szCs w:val="21"/>
          <w:highlight w:val="none"/>
          <w:lang w:val="nb-NO"/>
        </w:rPr>
        <w:t>——测量标距</w:t>
      </w:r>
      <w:r>
        <w:rPr>
          <w:rFonts w:hint="eastAsia"/>
          <w:color w:val="auto"/>
          <w:szCs w:val="21"/>
          <w:highlight w:val="none"/>
          <w:lang w:val="nb-NO"/>
        </w:rPr>
        <w:t>（</w:t>
      </w:r>
      <w:r>
        <w:rPr>
          <w:color w:val="auto"/>
          <w:szCs w:val="21"/>
          <w:highlight w:val="none"/>
          <w:lang w:val="nb-NO"/>
        </w:rPr>
        <w:t>mm</w:t>
      </w:r>
      <w:r>
        <w:rPr>
          <w:rFonts w:hint="eastAsia"/>
          <w:color w:val="auto"/>
          <w:szCs w:val="21"/>
          <w:highlight w:val="none"/>
          <w:lang w:val="nb-NO"/>
        </w:rPr>
        <w:t>）</w:t>
      </w:r>
      <w:r>
        <w:rPr>
          <w:color w:val="auto"/>
          <w:szCs w:val="21"/>
          <w:highlight w:val="none"/>
          <w:lang w:val="nb-NO"/>
        </w:rPr>
        <w:t>；</w:t>
      </w:r>
    </w:p>
    <w:p w14:paraId="16BC5D0A">
      <w:pPr>
        <w:kinsoku/>
        <w:overflowPunct/>
        <w:bidi w:val="0"/>
        <w:spacing w:line="360" w:lineRule="auto"/>
        <w:rPr>
          <w:color w:val="auto"/>
          <w:szCs w:val="21"/>
          <w:highlight w:val="none"/>
          <w:lang w:val="nb-NO"/>
        </w:rPr>
      </w:pPr>
      <w:r>
        <w:rPr>
          <w:rFonts w:hint="eastAsia"/>
          <w:color w:val="auto"/>
          <w:position w:val="-6"/>
          <w:szCs w:val="21"/>
          <w:highlight w:val="none"/>
          <w:lang w:val="nb-NO"/>
        </w:rPr>
        <w:t xml:space="preserve">    </w:t>
      </w:r>
      <w:r>
        <w:rPr>
          <w:rFonts w:hint="eastAsia" w:ascii="宋体" w:hAnsi="宋体"/>
          <w:color w:val="auto"/>
          <w:szCs w:val="21"/>
          <w:highlight w:val="none"/>
          <w:lang w:val="nb-NO"/>
        </w:rPr>
        <w:t>Δ</w:t>
      </w:r>
      <w:r>
        <w:rPr>
          <w:i/>
          <w:iCs/>
          <w:color w:val="auto"/>
          <w:szCs w:val="21"/>
          <w:highlight w:val="none"/>
          <w:lang w:val="nb-NO"/>
        </w:rPr>
        <w:t>n</w:t>
      </w:r>
      <w:r>
        <w:rPr>
          <w:color w:val="auto"/>
          <w:szCs w:val="21"/>
          <w:highlight w:val="none"/>
          <w:lang w:val="nb-NO"/>
        </w:rPr>
        <w:t>——最后一次从</w:t>
      </w:r>
      <w:r>
        <w:rPr>
          <w:rFonts w:hint="eastAsia"/>
          <w:i/>
          <w:color w:val="auto"/>
          <w:szCs w:val="21"/>
          <w:highlight w:val="none"/>
          <w:lang w:val="nb-NO"/>
        </w:rPr>
        <w:t>F</w:t>
      </w:r>
      <w:r>
        <w:rPr>
          <w:rFonts w:hint="eastAsia"/>
          <w:color w:val="auto"/>
          <w:szCs w:val="21"/>
          <w:highlight w:val="none"/>
          <w:vertAlign w:val="subscript"/>
          <w:lang w:val="nb-NO"/>
        </w:rPr>
        <w:t>0</w:t>
      </w:r>
      <w:r>
        <w:rPr>
          <w:color w:val="auto"/>
          <w:szCs w:val="21"/>
          <w:highlight w:val="none"/>
          <w:lang w:val="nb-NO"/>
        </w:rPr>
        <w:t>加荷至</w:t>
      </w:r>
      <w:r>
        <w:rPr>
          <w:rFonts w:hint="eastAsia"/>
          <w:i/>
          <w:color w:val="auto"/>
          <w:szCs w:val="21"/>
          <w:highlight w:val="none"/>
          <w:lang w:val="nb-NO"/>
        </w:rPr>
        <w:t>F</w:t>
      </w:r>
      <w:r>
        <w:rPr>
          <w:rFonts w:hint="eastAsia"/>
          <w:color w:val="auto"/>
          <w:szCs w:val="21"/>
          <w:highlight w:val="none"/>
          <w:vertAlign w:val="subscript"/>
          <w:lang w:val="nb-NO"/>
        </w:rPr>
        <w:t>a</w:t>
      </w:r>
      <w:r>
        <w:rPr>
          <w:color w:val="auto"/>
          <w:szCs w:val="21"/>
          <w:highlight w:val="none"/>
          <w:lang w:val="nb-NO"/>
        </w:rPr>
        <w:t>时试件两侧变形的平均值</w:t>
      </w:r>
      <w:r>
        <w:rPr>
          <w:rFonts w:hint="eastAsia"/>
          <w:color w:val="auto"/>
          <w:szCs w:val="21"/>
          <w:highlight w:val="none"/>
          <w:lang w:val="nb-NO"/>
        </w:rPr>
        <w:t>（</w:t>
      </w:r>
      <w:r>
        <w:rPr>
          <w:color w:val="auto"/>
          <w:szCs w:val="21"/>
          <w:highlight w:val="none"/>
          <w:lang w:val="nb-NO"/>
        </w:rPr>
        <w:t>mm</w:t>
      </w:r>
      <w:r>
        <w:rPr>
          <w:rFonts w:hint="eastAsia"/>
          <w:color w:val="auto"/>
          <w:szCs w:val="21"/>
          <w:highlight w:val="none"/>
          <w:lang w:val="nb-NO"/>
        </w:rPr>
        <w:t>）；</w:t>
      </w:r>
    </w:p>
    <w:p w14:paraId="2941B3A3">
      <w:pPr>
        <w:kinsoku/>
        <w:overflowPunct/>
        <w:bidi w:val="0"/>
        <w:spacing w:line="360" w:lineRule="auto"/>
        <w:rPr>
          <w:color w:val="auto"/>
          <w:szCs w:val="21"/>
          <w:highlight w:val="none"/>
          <w:lang w:val="nb-NO"/>
        </w:rPr>
      </w:pPr>
      <w:r>
        <w:rPr>
          <w:rFonts w:hint="eastAsia"/>
          <w:color w:val="auto"/>
          <w:position w:val="-12"/>
          <w:szCs w:val="21"/>
          <w:highlight w:val="none"/>
          <w:lang w:val="nb-NO"/>
        </w:rPr>
        <w:t xml:space="preserve">      </w:t>
      </w:r>
      <w:r>
        <w:rPr>
          <w:i/>
          <w:iCs/>
          <w:color w:val="auto"/>
          <w:szCs w:val="21"/>
          <w:highlight w:val="none"/>
          <w:lang w:val="nb-NO"/>
        </w:rPr>
        <w:t>ε</w:t>
      </w:r>
      <w:r>
        <w:rPr>
          <w:rFonts w:hint="eastAsia"/>
          <w:color w:val="auto"/>
          <w:szCs w:val="21"/>
          <w:highlight w:val="none"/>
          <w:vertAlign w:val="subscript"/>
          <w:lang w:val="nb-NO"/>
        </w:rPr>
        <w:t>a</w:t>
      </w:r>
      <w:r>
        <w:rPr>
          <w:color w:val="auto"/>
          <w:szCs w:val="21"/>
          <w:highlight w:val="none"/>
          <w:lang w:val="nb-NO"/>
        </w:rPr>
        <w:t>——</w:t>
      </w:r>
      <w:r>
        <w:rPr>
          <w:rFonts w:hint="eastAsia"/>
          <w:i/>
          <w:color w:val="auto"/>
          <w:szCs w:val="21"/>
          <w:highlight w:val="none"/>
          <w:lang w:val="nb-NO"/>
        </w:rPr>
        <w:t xml:space="preserve"> F</w:t>
      </w:r>
      <w:r>
        <w:rPr>
          <w:rFonts w:hint="eastAsia"/>
          <w:color w:val="auto"/>
          <w:szCs w:val="21"/>
          <w:highlight w:val="none"/>
          <w:vertAlign w:val="subscript"/>
          <w:lang w:val="nb-NO"/>
        </w:rPr>
        <w:t>a</w:t>
      </w:r>
      <w:r>
        <w:rPr>
          <w:color w:val="auto"/>
          <w:szCs w:val="21"/>
          <w:highlight w:val="none"/>
          <w:lang w:val="nb-NO"/>
        </w:rPr>
        <w:t>时试件两侧变形的平均值</w:t>
      </w:r>
      <w:r>
        <w:rPr>
          <w:rFonts w:hint="eastAsia"/>
          <w:color w:val="auto"/>
          <w:szCs w:val="21"/>
          <w:highlight w:val="none"/>
          <w:lang w:val="nb-NO"/>
        </w:rPr>
        <w:t>（</w:t>
      </w:r>
      <w:r>
        <w:rPr>
          <w:color w:val="auto"/>
          <w:szCs w:val="21"/>
          <w:highlight w:val="none"/>
          <w:lang w:val="nb-NO"/>
        </w:rPr>
        <w:t>mm</w:t>
      </w:r>
      <w:r>
        <w:rPr>
          <w:rFonts w:hint="eastAsia"/>
          <w:color w:val="auto"/>
          <w:szCs w:val="21"/>
          <w:highlight w:val="none"/>
          <w:lang w:val="nb-NO"/>
        </w:rPr>
        <w:t>）；</w:t>
      </w:r>
    </w:p>
    <w:p w14:paraId="5AE052BE">
      <w:pPr>
        <w:kinsoku/>
        <w:overflowPunct/>
        <w:bidi w:val="0"/>
        <w:spacing w:line="360" w:lineRule="auto"/>
        <w:ind w:firstLine="630" w:firstLineChars="300"/>
        <w:rPr>
          <w:bCs/>
          <w:color w:val="auto"/>
          <w:szCs w:val="21"/>
          <w:highlight w:val="none"/>
          <w:lang w:val="nb-NO"/>
        </w:rPr>
      </w:pPr>
      <w:r>
        <w:rPr>
          <w:i/>
          <w:iCs/>
          <w:color w:val="auto"/>
          <w:szCs w:val="21"/>
          <w:highlight w:val="none"/>
          <w:lang w:val="nb-NO"/>
        </w:rPr>
        <w:t>ε</w:t>
      </w:r>
      <w:r>
        <w:rPr>
          <w:color w:val="auto"/>
          <w:szCs w:val="21"/>
          <w:highlight w:val="none"/>
          <w:vertAlign w:val="subscript"/>
          <w:lang w:val="nb-NO"/>
        </w:rPr>
        <w:t>0</w:t>
      </w:r>
      <w:r>
        <w:rPr>
          <w:bCs/>
          <w:color w:val="auto"/>
          <w:szCs w:val="21"/>
          <w:highlight w:val="none"/>
          <w:lang w:val="nb-NO"/>
        </w:rPr>
        <w:t>——</w:t>
      </w:r>
      <w:r>
        <w:rPr>
          <w:rFonts w:hint="eastAsia"/>
          <w:bCs/>
          <w:i/>
          <w:iCs/>
          <w:color w:val="auto"/>
          <w:szCs w:val="21"/>
          <w:highlight w:val="none"/>
          <w:lang w:val="nb-NO"/>
        </w:rPr>
        <w:t>F</w:t>
      </w:r>
      <w:r>
        <w:rPr>
          <w:rFonts w:hint="eastAsia"/>
          <w:bCs/>
          <w:color w:val="auto"/>
          <w:szCs w:val="21"/>
          <w:highlight w:val="none"/>
          <w:vertAlign w:val="subscript"/>
          <w:lang w:val="nb-NO"/>
        </w:rPr>
        <w:t>0</w:t>
      </w:r>
      <w:r>
        <w:rPr>
          <w:bCs/>
          <w:color w:val="auto"/>
          <w:szCs w:val="21"/>
          <w:highlight w:val="none"/>
          <w:lang w:val="nb-NO"/>
        </w:rPr>
        <w:t>时试件两侧变形的平均值</w:t>
      </w:r>
      <w:r>
        <w:rPr>
          <w:rFonts w:hint="eastAsia"/>
          <w:bCs/>
          <w:color w:val="auto"/>
          <w:szCs w:val="21"/>
          <w:highlight w:val="none"/>
          <w:lang w:val="nb-NO"/>
        </w:rPr>
        <w:t>（</w:t>
      </w:r>
      <w:r>
        <w:rPr>
          <w:bCs/>
          <w:color w:val="auto"/>
          <w:szCs w:val="21"/>
          <w:highlight w:val="none"/>
          <w:lang w:val="nb-NO"/>
        </w:rPr>
        <w:t>mm</w:t>
      </w:r>
      <w:r>
        <w:rPr>
          <w:rFonts w:hint="eastAsia"/>
          <w:bCs/>
          <w:color w:val="auto"/>
          <w:szCs w:val="21"/>
          <w:highlight w:val="none"/>
          <w:lang w:val="nb-NO"/>
        </w:rPr>
        <w:t>）；</w:t>
      </w:r>
    </w:p>
    <w:p w14:paraId="2A8217AE">
      <w:pPr>
        <w:kinsoku/>
        <w:overflowPunct/>
        <w:bidi w:val="0"/>
        <w:spacing w:before="156" w:beforeLines="50" w:line="360" w:lineRule="auto"/>
        <w:ind w:firstLine="315" w:firstLineChars="150"/>
        <w:rPr>
          <w:bCs/>
          <w:color w:val="auto"/>
          <w:szCs w:val="21"/>
          <w:highlight w:val="none"/>
          <w:lang w:val="nb-NO"/>
        </w:rPr>
      </w:pPr>
      <w:r>
        <w:rPr>
          <w:bCs/>
          <w:color w:val="auto"/>
          <w:szCs w:val="21"/>
          <w:highlight w:val="none"/>
          <w:lang w:val="nb-NO"/>
        </w:rPr>
        <w:t>2</w:t>
      </w:r>
      <w:r>
        <w:rPr>
          <w:rFonts w:hint="eastAsia"/>
          <w:bCs/>
          <w:color w:val="auto"/>
          <w:szCs w:val="21"/>
          <w:highlight w:val="none"/>
          <w:lang w:val="nb-NO"/>
        </w:rPr>
        <w:t xml:space="preserve"> 应</w:t>
      </w:r>
      <w:r>
        <w:rPr>
          <w:bCs/>
          <w:color w:val="auto"/>
          <w:szCs w:val="21"/>
          <w:highlight w:val="none"/>
          <w:lang w:val="nb-NO"/>
        </w:rPr>
        <w:t>按3个试件测值的算术平均值</w:t>
      </w:r>
      <w:r>
        <w:rPr>
          <w:rFonts w:hint="eastAsia"/>
          <w:bCs/>
          <w:color w:val="auto"/>
          <w:szCs w:val="21"/>
          <w:highlight w:val="none"/>
          <w:lang w:val="nb-NO"/>
        </w:rPr>
        <w:t>作为该组试件的弹性模量值，应精确至100MPa</w:t>
      </w:r>
      <w:r>
        <w:rPr>
          <w:bCs/>
          <w:color w:val="auto"/>
          <w:szCs w:val="21"/>
          <w:highlight w:val="none"/>
          <w:lang w:val="nb-NO"/>
        </w:rPr>
        <w:t>。如果其中有一个试件</w:t>
      </w:r>
      <w:r>
        <w:rPr>
          <w:rFonts w:hint="eastAsia"/>
          <w:bCs/>
          <w:color w:val="auto"/>
          <w:szCs w:val="21"/>
          <w:highlight w:val="none"/>
          <w:lang w:val="nb-NO"/>
        </w:rPr>
        <w:t>在测定弹性模量后的</w:t>
      </w:r>
      <w:r>
        <w:rPr>
          <w:bCs/>
          <w:color w:val="auto"/>
          <w:szCs w:val="21"/>
          <w:highlight w:val="none"/>
          <w:lang w:val="nb-NO"/>
        </w:rPr>
        <w:t>轴心抗压强度值与用以确定检验控制荷载的轴心抗压强度值相差超过后者的20%时，则弹性模量值</w:t>
      </w:r>
      <w:r>
        <w:rPr>
          <w:rFonts w:hint="eastAsia"/>
          <w:bCs/>
          <w:color w:val="auto"/>
          <w:szCs w:val="21"/>
          <w:highlight w:val="none"/>
          <w:lang w:val="nb-NO"/>
        </w:rPr>
        <w:t>应</w:t>
      </w:r>
      <w:r>
        <w:rPr>
          <w:bCs/>
          <w:color w:val="auto"/>
          <w:szCs w:val="21"/>
          <w:highlight w:val="none"/>
          <w:lang w:val="nb-NO"/>
        </w:rPr>
        <w:t>按另两个试件测值的算术平均值计算</w:t>
      </w:r>
      <w:r>
        <w:rPr>
          <w:rFonts w:hint="eastAsia"/>
          <w:bCs/>
          <w:color w:val="auto"/>
          <w:szCs w:val="21"/>
          <w:highlight w:val="none"/>
          <w:lang w:val="nb-NO"/>
        </w:rPr>
        <w:t>；</w:t>
      </w:r>
      <w:r>
        <w:rPr>
          <w:bCs/>
          <w:color w:val="auto"/>
          <w:szCs w:val="21"/>
          <w:highlight w:val="none"/>
          <w:lang w:val="nb-NO"/>
        </w:rPr>
        <w:t>如有两个试件超过上述规定时，则此次试验无效。</w:t>
      </w:r>
    </w:p>
    <w:p w14:paraId="25C9C94B">
      <w:pPr>
        <w:kinsoku/>
        <w:overflowPunct/>
        <w:bidi w:val="0"/>
        <w:spacing w:before="156" w:beforeLines="50" w:line="360" w:lineRule="auto"/>
        <w:ind w:firstLine="315" w:firstLineChars="150"/>
        <w:rPr>
          <w:color w:val="auto"/>
          <w:highlight w:val="none"/>
        </w:rPr>
      </w:pPr>
    </w:p>
    <w:p w14:paraId="0A72830E">
      <w:pPr>
        <w:pStyle w:val="65"/>
        <w:kinsoku/>
        <w:overflowPunct/>
        <w:bidi w:val="0"/>
        <w:spacing w:before="156" w:beforeLines="50" w:after="156" w:afterLines="50" w:line="360" w:lineRule="auto"/>
        <w:outlineLvl w:val="1"/>
        <w:rPr>
          <w:color w:val="auto"/>
          <w:highlight w:val="none"/>
        </w:rPr>
      </w:pPr>
      <w:bookmarkStart w:id="34" w:name="_Toc28224"/>
      <w:r>
        <w:rPr>
          <w:rFonts w:hint="eastAsia"/>
          <w:color w:val="auto"/>
          <w:highlight w:val="none"/>
        </w:rPr>
        <w:t xml:space="preserve">6.4 </w:t>
      </w:r>
      <w:r>
        <w:rPr>
          <w:color w:val="auto"/>
          <w:highlight w:val="none"/>
        </w:rPr>
        <w:t>泊松比</w:t>
      </w:r>
      <w:r>
        <w:rPr>
          <w:rFonts w:hint="eastAsia"/>
          <w:color w:val="auto"/>
          <w:highlight w:val="none"/>
        </w:rPr>
        <w:t>试验</w:t>
      </w:r>
      <w:bookmarkEnd w:id="34"/>
    </w:p>
    <w:p w14:paraId="27FAC6EB">
      <w:pPr>
        <w:kinsoku/>
        <w:overflowPunct/>
        <w:bidi w:val="0"/>
        <w:spacing w:before="156" w:beforeLines="50" w:line="360" w:lineRule="auto"/>
        <w:rPr>
          <w:color w:val="auto"/>
          <w:szCs w:val="21"/>
          <w:highlight w:val="none"/>
          <w:lang w:val="nb-NO"/>
        </w:rPr>
      </w:pPr>
      <w:r>
        <w:rPr>
          <w:rFonts w:hint="eastAsia"/>
          <w:color w:val="auto"/>
          <w:szCs w:val="21"/>
          <w:highlight w:val="none"/>
          <w:lang w:val="nb-NO"/>
        </w:rPr>
        <w:t>6.4</w:t>
      </w:r>
      <w:r>
        <w:rPr>
          <w:color w:val="auto"/>
          <w:szCs w:val="21"/>
          <w:highlight w:val="none"/>
          <w:lang w:val="nb-NO"/>
        </w:rPr>
        <w:t>.1</w:t>
      </w:r>
      <w:r>
        <w:rPr>
          <w:rFonts w:hint="eastAsia"/>
          <w:color w:val="auto"/>
          <w:szCs w:val="21"/>
          <w:highlight w:val="none"/>
        </w:rPr>
        <w:t xml:space="preserve"> 进行</w:t>
      </w:r>
      <w:r>
        <w:rPr>
          <w:rFonts w:hint="eastAsia"/>
          <w:color w:val="auto"/>
          <w:highlight w:val="none"/>
        </w:rPr>
        <w:t>超高性能</w:t>
      </w:r>
      <w:r>
        <w:rPr>
          <w:rFonts w:hint="eastAsia"/>
          <w:color w:val="auto"/>
          <w:szCs w:val="21"/>
          <w:highlight w:val="none"/>
          <w:lang w:val="nb-NO"/>
        </w:rPr>
        <w:t xml:space="preserve">混凝土泊松比试验的试件尺寸和数量应符合下列规定： </w:t>
      </w:r>
    </w:p>
    <w:p w14:paraId="5AADE416">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1</w:t>
      </w:r>
      <w:r>
        <w:rPr>
          <w:rFonts w:hint="eastAsia"/>
          <w:color w:val="auto"/>
          <w:szCs w:val="21"/>
          <w:highlight w:val="none"/>
          <w:lang w:val="nb-NO"/>
        </w:rPr>
        <w:t xml:space="preserve"> </w:t>
      </w:r>
      <w:r>
        <w:rPr>
          <w:color w:val="auto"/>
          <w:szCs w:val="21"/>
          <w:highlight w:val="none"/>
          <w:lang w:val="nb-NO"/>
        </w:rPr>
        <w:t>试件</w:t>
      </w:r>
      <w:r>
        <w:rPr>
          <w:rFonts w:hint="eastAsia"/>
          <w:color w:val="auto"/>
          <w:szCs w:val="21"/>
          <w:highlight w:val="none"/>
          <w:lang w:val="nb-NO"/>
        </w:rPr>
        <w:t>应采用</w:t>
      </w:r>
      <w:r>
        <w:rPr>
          <w:color w:val="auto"/>
          <w:szCs w:val="21"/>
          <w:highlight w:val="none"/>
          <w:lang w:val="nb-NO"/>
        </w:rPr>
        <w:t>边长为1</w:t>
      </w:r>
      <w:r>
        <w:rPr>
          <w:rFonts w:hint="eastAsia"/>
          <w:color w:val="auto"/>
          <w:szCs w:val="21"/>
          <w:highlight w:val="none"/>
          <w:lang w:val="nb-NO"/>
        </w:rPr>
        <w:t>0</w:t>
      </w:r>
      <w:r>
        <w:rPr>
          <w:color w:val="auto"/>
          <w:szCs w:val="21"/>
          <w:highlight w:val="none"/>
          <w:lang w:val="nb-NO"/>
        </w:rPr>
        <w:t>0mm×1</w:t>
      </w:r>
      <w:r>
        <w:rPr>
          <w:rFonts w:hint="eastAsia"/>
          <w:color w:val="auto"/>
          <w:szCs w:val="21"/>
          <w:highlight w:val="none"/>
          <w:lang w:val="nb-NO"/>
        </w:rPr>
        <w:t>0</w:t>
      </w:r>
      <w:r>
        <w:rPr>
          <w:color w:val="auto"/>
          <w:szCs w:val="21"/>
          <w:highlight w:val="none"/>
          <w:lang w:val="nb-NO"/>
        </w:rPr>
        <w:t>0mm×300mm的棱柱体试件</w:t>
      </w:r>
      <w:r>
        <w:rPr>
          <w:rFonts w:hint="eastAsia"/>
          <w:color w:val="auto"/>
          <w:szCs w:val="21"/>
          <w:highlight w:val="none"/>
          <w:lang w:val="nb-NO"/>
        </w:rPr>
        <w:t>；</w:t>
      </w:r>
    </w:p>
    <w:p w14:paraId="5C13FB1B">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2</w:t>
      </w:r>
      <w:r>
        <w:rPr>
          <w:rFonts w:hint="eastAsia"/>
          <w:color w:val="auto"/>
          <w:szCs w:val="21"/>
          <w:highlight w:val="none"/>
          <w:lang w:val="nb-NO"/>
        </w:rPr>
        <w:t xml:space="preserve"> </w:t>
      </w:r>
      <w:r>
        <w:rPr>
          <w:rFonts w:hint="eastAsia"/>
          <w:color w:val="auto"/>
          <w:szCs w:val="21"/>
          <w:highlight w:val="none"/>
        </w:rPr>
        <w:t>每次试验应制备6个试件，其中3个用于测定轴心抗压强度，另外3个用于测定泊松比</w:t>
      </w:r>
      <w:r>
        <w:rPr>
          <w:rFonts w:hint="eastAsia"/>
          <w:color w:val="auto"/>
          <w:szCs w:val="21"/>
          <w:highlight w:val="none"/>
          <w:lang w:val="nb-NO"/>
        </w:rPr>
        <w:t>。</w:t>
      </w:r>
    </w:p>
    <w:p w14:paraId="05950FDB">
      <w:pPr>
        <w:kinsoku/>
        <w:overflowPunct/>
        <w:bidi w:val="0"/>
        <w:spacing w:before="156" w:beforeLines="50" w:line="360" w:lineRule="auto"/>
        <w:rPr>
          <w:color w:val="auto"/>
          <w:szCs w:val="21"/>
          <w:highlight w:val="none"/>
        </w:rPr>
      </w:pPr>
      <w:r>
        <w:rPr>
          <w:rFonts w:hint="eastAsia"/>
          <w:color w:val="auto"/>
          <w:szCs w:val="21"/>
          <w:highlight w:val="none"/>
          <w:lang w:val="nb-NO"/>
        </w:rPr>
        <w:t>6.4</w:t>
      </w:r>
      <w:r>
        <w:rPr>
          <w:color w:val="auto"/>
          <w:szCs w:val="21"/>
          <w:highlight w:val="none"/>
          <w:lang w:val="nb-NO"/>
        </w:rPr>
        <w:t>.2</w:t>
      </w:r>
      <w:r>
        <w:rPr>
          <w:rFonts w:hint="eastAsia"/>
          <w:color w:val="auto"/>
          <w:szCs w:val="21"/>
          <w:highlight w:val="none"/>
        </w:rPr>
        <w:t xml:space="preserve"> 试验仪器设备应符合下列规定：</w:t>
      </w:r>
    </w:p>
    <w:p w14:paraId="428DFE41">
      <w:pPr>
        <w:kinsoku/>
        <w:overflowPunct/>
        <w:bidi w:val="0"/>
        <w:spacing w:before="156" w:beforeLines="50" w:line="360" w:lineRule="auto"/>
        <w:ind w:firstLine="315" w:firstLineChars="150"/>
        <w:rPr>
          <w:color w:val="auto"/>
          <w:szCs w:val="21"/>
          <w:highlight w:val="none"/>
          <w:lang w:val="nb-NO"/>
        </w:rPr>
      </w:pPr>
      <w:r>
        <w:rPr>
          <w:color w:val="auto"/>
          <w:szCs w:val="21"/>
          <w:highlight w:val="none"/>
        </w:rPr>
        <w:t>1</w:t>
      </w:r>
      <w:r>
        <w:rPr>
          <w:rFonts w:hint="eastAsia"/>
          <w:color w:val="auto"/>
          <w:szCs w:val="21"/>
          <w:highlight w:val="none"/>
        </w:rPr>
        <w:t xml:space="preserve"> </w:t>
      </w:r>
      <w:r>
        <w:rPr>
          <w:color w:val="auto"/>
          <w:szCs w:val="21"/>
          <w:highlight w:val="none"/>
          <w:lang w:val="nb-NO"/>
        </w:rPr>
        <w:t>压力试验机应符合</w:t>
      </w:r>
      <w:r>
        <w:rPr>
          <w:rFonts w:hint="eastAsia"/>
          <w:color w:val="auto"/>
          <w:szCs w:val="21"/>
          <w:highlight w:val="none"/>
        </w:rPr>
        <w:t>本标准第6.1.3条</w:t>
      </w:r>
      <w:r>
        <w:rPr>
          <w:rFonts w:hint="eastAsia"/>
          <w:color w:val="auto"/>
          <w:szCs w:val="21"/>
          <w:highlight w:val="none"/>
          <w:lang w:val="nb-NO"/>
        </w:rPr>
        <w:t>中第1款</w:t>
      </w:r>
      <w:r>
        <w:rPr>
          <w:color w:val="auto"/>
          <w:szCs w:val="21"/>
          <w:highlight w:val="none"/>
          <w:lang w:val="nb-NO"/>
        </w:rPr>
        <w:t>的规定。</w:t>
      </w:r>
    </w:p>
    <w:p w14:paraId="5C5FD835">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2</w:t>
      </w:r>
      <w:r>
        <w:rPr>
          <w:rFonts w:hint="eastAsia"/>
          <w:color w:val="auto"/>
          <w:szCs w:val="21"/>
          <w:highlight w:val="none"/>
          <w:lang w:val="nb-NO"/>
        </w:rPr>
        <w:t xml:space="preserve"> 用于</w:t>
      </w:r>
      <w:r>
        <w:rPr>
          <w:color w:val="auto"/>
          <w:szCs w:val="21"/>
          <w:highlight w:val="none"/>
          <w:lang w:val="nb-NO"/>
        </w:rPr>
        <w:t>微变形测量</w:t>
      </w:r>
      <w:r>
        <w:rPr>
          <w:rFonts w:hint="eastAsia"/>
          <w:color w:val="auto"/>
          <w:szCs w:val="21"/>
          <w:highlight w:val="none"/>
          <w:lang w:val="nb-NO"/>
        </w:rPr>
        <w:t>的仪器应符合下列规定：</w:t>
      </w:r>
    </w:p>
    <w:p w14:paraId="63F645DD">
      <w:pPr>
        <w:pStyle w:val="53"/>
        <w:kinsoku/>
        <w:overflowPunct/>
        <w:bidi w:val="0"/>
        <w:spacing w:line="360" w:lineRule="auto"/>
        <w:ind w:firstLine="525" w:firstLineChars="250"/>
        <w:rPr>
          <w:color w:val="auto"/>
          <w:highlight w:val="none"/>
        </w:rPr>
      </w:pPr>
      <w:r>
        <w:rPr>
          <w:color w:val="auto"/>
          <w:highlight w:val="none"/>
          <w:lang w:val="nb-NO"/>
        </w:rPr>
        <w:t>1</w:t>
      </w:r>
      <w:r>
        <w:rPr>
          <w:rFonts w:hint="eastAsia"/>
          <w:color w:val="auto"/>
          <w:highlight w:val="none"/>
          <w:lang w:val="nb-NO"/>
        </w:rPr>
        <w:t>）</w:t>
      </w:r>
      <w:r>
        <w:rPr>
          <w:color w:val="auto"/>
          <w:highlight w:val="none"/>
          <w:lang w:val="nb-NO"/>
        </w:rPr>
        <w:t>用于试件竖向微变形测量的仪器可包括千分表、电阻应变片、激光测长仪、引伸仪或位移传感器等，用于试件横向微</w:t>
      </w:r>
      <w:r>
        <w:rPr>
          <w:rFonts w:hint="eastAsia"/>
          <w:color w:val="auto"/>
          <w:highlight w:val="none"/>
        </w:rPr>
        <w:t>变形</w:t>
      </w:r>
      <w:r>
        <w:rPr>
          <w:color w:val="auto"/>
          <w:highlight w:val="none"/>
          <w:lang w:val="nb-NO"/>
        </w:rPr>
        <w:t>测量的仪器宜为电阻应变片。</w:t>
      </w:r>
      <w:r>
        <w:rPr>
          <w:color w:val="auto"/>
          <w:highlight w:val="none"/>
        </w:rPr>
        <w:t>采用千分表或位移传感器时应备有微变形测量固定架，试件的变形通过微变形测量固定架传递到千分表或位移传感器。采用电阻应变片或位移传感器测量试件变形时，应备有数据自动采集系统，条件许可时，可采用荷载和位移数据同步采集系统。</w:t>
      </w:r>
    </w:p>
    <w:p w14:paraId="79E31C9A">
      <w:pPr>
        <w:pStyle w:val="53"/>
        <w:kinsoku/>
        <w:overflowPunct/>
        <w:bidi w:val="0"/>
        <w:spacing w:line="360" w:lineRule="auto"/>
        <w:ind w:firstLine="525" w:firstLineChars="250"/>
        <w:rPr>
          <w:color w:val="auto"/>
          <w:highlight w:val="none"/>
        </w:rPr>
      </w:pPr>
      <w:r>
        <w:rPr>
          <w:color w:val="auto"/>
          <w:highlight w:val="none"/>
          <w:lang w:val="nb-NO"/>
        </w:rPr>
        <w:t>2</w:t>
      </w:r>
      <w:r>
        <w:rPr>
          <w:rFonts w:hint="eastAsia"/>
          <w:color w:val="auto"/>
          <w:highlight w:val="none"/>
          <w:lang w:val="nb-NO"/>
        </w:rPr>
        <w:t>）</w:t>
      </w:r>
      <w:r>
        <w:rPr>
          <w:color w:val="auto"/>
          <w:highlight w:val="none"/>
          <w:lang w:val="nb-NO"/>
        </w:rPr>
        <w:t>当采用千分表和位移传感器时，其测量精度应为±0.001mm；当采用电阻应变片、激光测长仪或引伸仪时，其测量精度应为±0.001%。</w:t>
      </w:r>
    </w:p>
    <w:p w14:paraId="18CD40AD">
      <w:pPr>
        <w:pStyle w:val="53"/>
        <w:kinsoku/>
        <w:overflowPunct/>
        <w:bidi w:val="0"/>
        <w:spacing w:line="360" w:lineRule="auto"/>
        <w:ind w:firstLine="525" w:firstLineChars="250"/>
        <w:rPr>
          <w:color w:val="auto"/>
          <w:highlight w:val="none"/>
          <w:lang w:val="nb-NO"/>
        </w:rPr>
      </w:pPr>
      <w:r>
        <w:rPr>
          <w:color w:val="auto"/>
          <w:highlight w:val="none"/>
          <w:lang w:val="nb-NO"/>
        </w:rPr>
        <w:t>3</w:t>
      </w:r>
      <w:r>
        <w:rPr>
          <w:rFonts w:hint="eastAsia"/>
          <w:color w:val="auto"/>
          <w:highlight w:val="none"/>
          <w:lang w:val="nb-NO"/>
        </w:rPr>
        <w:t>）</w:t>
      </w:r>
      <w:r>
        <w:rPr>
          <w:color w:val="auto"/>
          <w:highlight w:val="none"/>
          <w:lang w:val="nb-NO"/>
        </w:rPr>
        <w:t>竖向</w:t>
      </w:r>
      <w:r>
        <w:rPr>
          <w:rFonts w:hint="eastAsia"/>
          <w:color w:val="auto"/>
          <w:highlight w:val="none"/>
        </w:rPr>
        <w:t>测量</w:t>
      </w:r>
      <w:r>
        <w:rPr>
          <w:color w:val="auto"/>
          <w:highlight w:val="none"/>
          <w:lang w:val="nb-NO"/>
        </w:rPr>
        <w:t>标距应为150mm，横向测量标距应为</w:t>
      </w:r>
      <w:r>
        <w:rPr>
          <w:rFonts w:hint="eastAsia"/>
          <w:color w:val="auto"/>
          <w:kern w:val="2"/>
          <w:highlight w:val="none"/>
          <w:lang w:val="nb-NO"/>
        </w:rPr>
        <w:t>70</w:t>
      </w:r>
      <w:r>
        <w:rPr>
          <w:color w:val="auto"/>
          <w:highlight w:val="none"/>
          <w:lang w:val="nb-NO"/>
        </w:rPr>
        <w:t>mm。</w:t>
      </w:r>
    </w:p>
    <w:p w14:paraId="1536E2B9">
      <w:pPr>
        <w:kinsoku/>
        <w:overflowPunct/>
        <w:bidi w:val="0"/>
        <w:spacing w:before="156" w:beforeLines="50" w:line="360" w:lineRule="auto"/>
        <w:rPr>
          <w:color w:val="auto"/>
          <w:szCs w:val="21"/>
          <w:highlight w:val="none"/>
          <w:lang w:val="nb-NO"/>
        </w:rPr>
      </w:pPr>
      <w:r>
        <w:rPr>
          <w:rFonts w:hint="eastAsia"/>
          <w:color w:val="auto"/>
          <w:szCs w:val="21"/>
          <w:highlight w:val="none"/>
          <w:lang w:val="nb-NO"/>
        </w:rPr>
        <w:t>6.4</w:t>
      </w:r>
      <w:r>
        <w:rPr>
          <w:color w:val="auto"/>
          <w:szCs w:val="21"/>
          <w:highlight w:val="none"/>
          <w:lang w:val="nb-NO"/>
        </w:rPr>
        <w:t>.3</w:t>
      </w:r>
      <w:r>
        <w:rPr>
          <w:rFonts w:hint="eastAsia"/>
          <w:color w:val="auto"/>
          <w:szCs w:val="21"/>
          <w:highlight w:val="none"/>
          <w:lang w:val="nb-NO"/>
        </w:rPr>
        <w:t>泊松比</w:t>
      </w:r>
      <w:r>
        <w:rPr>
          <w:color w:val="auto"/>
          <w:szCs w:val="21"/>
          <w:highlight w:val="none"/>
          <w:lang w:val="nb-NO"/>
        </w:rPr>
        <w:t>试验应按下列步骤进行：</w:t>
      </w:r>
    </w:p>
    <w:p w14:paraId="75A49DAF">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1</w:t>
      </w:r>
      <w:r>
        <w:rPr>
          <w:rFonts w:hint="eastAsia"/>
          <w:color w:val="auto"/>
          <w:szCs w:val="21"/>
          <w:highlight w:val="none"/>
        </w:rPr>
        <w:t xml:space="preserve"> 试件到达试验龄期时，从养护地点取出后，应检查其尺寸及形状，尺寸公差应满足本标准第4.</w:t>
      </w:r>
      <w:r>
        <w:rPr>
          <w:rFonts w:hint="eastAsia"/>
          <w:color w:val="auto"/>
          <w:szCs w:val="21"/>
          <w:highlight w:val="none"/>
          <w:lang w:eastAsia="zh"/>
          <w:woUserID w:val="3"/>
        </w:rPr>
        <w:t>3</w:t>
      </w:r>
      <w:r>
        <w:rPr>
          <w:rFonts w:hint="eastAsia"/>
          <w:color w:val="auto"/>
          <w:szCs w:val="21"/>
          <w:highlight w:val="none"/>
        </w:rPr>
        <w:t>节的规定，试件取出后应尽快进行试验。</w:t>
      </w:r>
    </w:p>
    <w:p w14:paraId="4742318B">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2</w:t>
      </w:r>
      <w:r>
        <w:rPr>
          <w:rFonts w:hint="eastAsia"/>
          <w:color w:val="auto"/>
          <w:szCs w:val="21"/>
          <w:highlight w:val="none"/>
          <w:lang w:val="nb-NO"/>
        </w:rPr>
        <w:t xml:space="preserve"> 取一组试件按照本标准第6.2节的规定测定</w:t>
      </w:r>
      <w:r>
        <w:rPr>
          <w:rFonts w:hint="eastAsia"/>
          <w:color w:val="auto"/>
          <w:highlight w:val="none"/>
        </w:rPr>
        <w:t>超高性能</w:t>
      </w:r>
      <w:r>
        <w:rPr>
          <w:rFonts w:hint="eastAsia"/>
          <w:color w:val="auto"/>
          <w:szCs w:val="21"/>
          <w:highlight w:val="none"/>
          <w:lang w:val="nb-NO"/>
        </w:rPr>
        <w:t>混凝土的轴心抗压强度（</w:t>
      </w:r>
      <w:r>
        <w:rPr>
          <w:i/>
          <w:color w:val="auto"/>
          <w:szCs w:val="21"/>
          <w:highlight w:val="none"/>
          <w:lang w:val="nb-NO"/>
        </w:rPr>
        <w:t>f</w:t>
      </w:r>
      <w:r>
        <w:rPr>
          <w:color w:val="auto"/>
          <w:szCs w:val="21"/>
          <w:highlight w:val="none"/>
          <w:vertAlign w:val="subscript"/>
        </w:rPr>
        <w:t>cp</w:t>
      </w:r>
      <w:r>
        <w:rPr>
          <w:rFonts w:hint="eastAsia"/>
          <w:color w:val="auto"/>
          <w:szCs w:val="21"/>
          <w:highlight w:val="none"/>
        </w:rPr>
        <w:t>)，另一组用于</w:t>
      </w:r>
      <w:r>
        <w:rPr>
          <w:color w:val="auto"/>
          <w:szCs w:val="21"/>
          <w:highlight w:val="none"/>
          <w:lang w:val="nb-NO"/>
        </w:rPr>
        <w:t>测定</w:t>
      </w:r>
      <w:r>
        <w:rPr>
          <w:rFonts w:hint="eastAsia"/>
          <w:color w:val="auto"/>
          <w:highlight w:val="none"/>
        </w:rPr>
        <w:t>超高性能</w:t>
      </w:r>
      <w:r>
        <w:rPr>
          <w:color w:val="auto"/>
          <w:szCs w:val="21"/>
          <w:highlight w:val="none"/>
          <w:lang w:val="nb-NO"/>
        </w:rPr>
        <w:t>混凝土的</w:t>
      </w:r>
      <w:r>
        <w:rPr>
          <w:rFonts w:hint="eastAsia"/>
          <w:color w:val="auto"/>
          <w:szCs w:val="21"/>
          <w:highlight w:val="none"/>
          <w:lang w:val="nb-NO"/>
        </w:rPr>
        <w:t>泊松比</w:t>
      </w:r>
      <w:r>
        <w:rPr>
          <w:color w:val="auto"/>
          <w:szCs w:val="21"/>
          <w:highlight w:val="none"/>
          <w:lang w:val="nb-NO"/>
        </w:rPr>
        <w:t>。</w:t>
      </w:r>
    </w:p>
    <w:p w14:paraId="51737BC9">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3</w:t>
      </w:r>
      <w:r>
        <w:rPr>
          <w:rFonts w:hint="eastAsia"/>
          <w:color w:val="auto"/>
          <w:szCs w:val="21"/>
          <w:highlight w:val="none"/>
          <w:lang w:val="nb-NO"/>
        </w:rPr>
        <w:t xml:space="preserve"> 在测定</w:t>
      </w:r>
      <w:r>
        <w:rPr>
          <w:rFonts w:hint="eastAsia"/>
          <w:color w:val="auto"/>
          <w:highlight w:val="none"/>
        </w:rPr>
        <w:t>超高性能</w:t>
      </w:r>
      <w:r>
        <w:rPr>
          <w:rFonts w:hint="eastAsia"/>
          <w:color w:val="auto"/>
          <w:szCs w:val="21"/>
          <w:highlight w:val="none"/>
          <w:lang w:val="nb-NO"/>
        </w:rPr>
        <w:t>混凝土泊松比时，用于测量试件竖向微变形的仪器应安装在试件两对侧面的竖向中线上并对称于试件的两端；用于测量试件横向微变形的应变计应粘贴在另外两对侧面的横向中线上，并对称于相应侧面的竖向中线。</w:t>
      </w:r>
    </w:p>
    <w:p w14:paraId="5660A323">
      <w:pPr>
        <w:kinsoku/>
        <w:overflowPunct/>
        <w:bidi w:val="0"/>
        <w:spacing w:before="156" w:beforeLines="50" w:line="360" w:lineRule="auto"/>
        <w:ind w:firstLine="315" w:firstLineChars="150"/>
        <w:rPr>
          <w:color w:val="auto"/>
          <w:szCs w:val="21"/>
          <w:highlight w:val="none"/>
        </w:rPr>
      </w:pPr>
      <w:r>
        <w:rPr>
          <w:rFonts w:hint="eastAsia"/>
          <w:color w:val="auto"/>
          <w:szCs w:val="21"/>
          <w:highlight w:val="none"/>
        </w:rPr>
        <w:t>当用于测量试件竖向微变形的仪器采用千分表或位移传感器时，应</w:t>
      </w:r>
      <w:r>
        <w:rPr>
          <w:color w:val="auto"/>
          <w:szCs w:val="21"/>
          <w:highlight w:val="none"/>
        </w:rPr>
        <w:t>将千分表或位移传感器固定在变形测量架上，试件的测量标距</w:t>
      </w:r>
      <w:r>
        <w:rPr>
          <w:rFonts w:hint="eastAsia"/>
          <w:color w:val="auto"/>
          <w:szCs w:val="21"/>
          <w:highlight w:val="none"/>
        </w:rPr>
        <w:t>应为</w:t>
      </w:r>
      <w:r>
        <w:rPr>
          <w:color w:val="auto"/>
          <w:szCs w:val="21"/>
          <w:highlight w:val="none"/>
        </w:rPr>
        <w:t>150mm，由标距定位杆定位，然后将变形测量架通过紧固螺钉固定。</w:t>
      </w:r>
    </w:p>
    <w:p w14:paraId="545F5CBE">
      <w:pPr>
        <w:kinsoku/>
        <w:overflowPunct/>
        <w:bidi w:val="0"/>
        <w:spacing w:before="156" w:beforeLines="50" w:line="360" w:lineRule="auto"/>
        <w:ind w:firstLine="315" w:firstLineChars="150"/>
        <w:rPr>
          <w:color w:val="auto"/>
          <w:szCs w:val="21"/>
          <w:highlight w:val="none"/>
        </w:rPr>
      </w:pPr>
      <w:r>
        <w:rPr>
          <w:color w:val="auto"/>
          <w:szCs w:val="21"/>
          <w:highlight w:val="none"/>
        </w:rPr>
        <w:t>当采用电阻应变</w:t>
      </w:r>
      <w:r>
        <w:rPr>
          <w:rFonts w:hint="eastAsia"/>
          <w:color w:val="auto"/>
          <w:szCs w:val="21"/>
          <w:highlight w:val="none"/>
        </w:rPr>
        <w:t>片</w:t>
      </w:r>
      <w:r>
        <w:rPr>
          <w:color w:val="auto"/>
          <w:szCs w:val="21"/>
          <w:highlight w:val="none"/>
        </w:rPr>
        <w:t>测量</w:t>
      </w:r>
      <w:r>
        <w:rPr>
          <w:rFonts w:hint="eastAsia"/>
          <w:color w:val="auto"/>
          <w:szCs w:val="21"/>
          <w:highlight w:val="none"/>
        </w:rPr>
        <w:t>竖向</w:t>
      </w:r>
      <w:r>
        <w:rPr>
          <w:color w:val="auto"/>
          <w:szCs w:val="21"/>
          <w:highlight w:val="none"/>
        </w:rPr>
        <w:t>变形时，</w:t>
      </w:r>
      <w:r>
        <w:rPr>
          <w:rFonts w:hint="eastAsia"/>
          <w:color w:val="auto"/>
          <w:szCs w:val="21"/>
          <w:highlight w:val="none"/>
        </w:rPr>
        <w:t>竖向测量标距应为150mm；对于测量横向变形的电阻应变片，测量标距应为</w:t>
      </w:r>
      <w:r>
        <w:rPr>
          <w:color w:val="auto"/>
          <w:szCs w:val="21"/>
          <w:highlight w:val="none"/>
        </w:rPr>
        <w:t>70</w:t>
      </w:r>
      <w:r>
        <w:rPr>
          <w:rFonts w:hint="eastAsia"/>
          <w:color w:val="auto"/>
          <w:szCs w:val="21"/>
          <w:highlight w:val="none"/>
        </w:rPr>
        <w:t>mm。</w:t>
      </w:r>
      <w:r>
        <w:rPr>
          <w:color w:val="auto"/>
          <w:szCs w:val="21"/>
          <w:highlight w:val="none"/>
        </w:rPr>
        <w:t>试件从养护室取出后，</w:t>
      </w:r>
      <w:r>
        <w:rPr>
          <w:rFonts w:hint="eastAsia"/>
          <w:color w:val="auto"/>
          <w:szCs w:val="21"/>
          <w:highlight w:val="none"/>
        </w:rPr>
        <w:t>应对贴应变片区域的试件表面缺陷进行处理，可采用电吹风吹干试件表面后，</w:t>
      </w:r>
      <w:r>
        <w:rPr>
          <w:color w:val="auto"/>
          <w:szCs w:val="21"/>
          <w:highlight w:val="none"/>
        </w:rPr>
        <w:t>尽快在试件</w:t>
      </w:r>
      <w:r>
        <w:rPr>
          <w:rFonts w:hint="eastAsia"/>
          <w:color w:val="auto"/>
          <w:szCs w:val="21"/>
          <w:highlight w:val="none"/>
        </w:rPr>
        <w:t>的</w:t>
      </w:r>
      <w:r>
        <w:rPr>
          <w:color w:val="auto"/>
          <w:szCs w:val="21"/>
          <w:highlight w:val="none"/>
        </w:rPr>
        <w:t>两侧</w:t>
      </w:r>
      <w:r>
        <w:rPr>
          <w:rFonts w:hint="eastAsia"/>
          <w:color w:val="auto"/>
          <w:szCs w:val="21"/>
          <w:highlight w:val="none"/>
        </w:rPr>
        <w:t>中部用502胶水粘</w:t>
      </w:r>
      <w:r>
        <w:rPr>
          <w:color w:val="auto"/>
          <w:szCs w:val="21"/>
          <w:highlight w:val="none"/>
        </w:rPr>
        <w:t>贴应变片。</w:t>
      </w:r>
    </w:p>
    <w:p w14:paraId="6975B57F">
      <w:pPr>
        <w:kinsoku/>
        <w:overflowPunct/>
        <w:bidi w:val="0"/>
        <w:spacing w:before="156" w:beforeLines="50" w:line="360" w:lineRule="auto"/>
        <w:ind w:firstLine="315" w:firstLineChars="150"/>
        <w:rPr>
          <w:color w:val="auto"/>
          <w:szCs w:val="21"/>
          <w:highlight w:val="none"/>
        </w:rPr>
      </w:pPr>
      <w:r>
        <w:rPr>
          <w:color w:val="auto"/>
          <w:szCs w:val="21"/>
          <w:highlight w:val="none"/>
        </w:rPr>
        <w:t xml:space="preserve">4 </w:t>
      </w:r>
      <w:r>
        <w:rPr>
          <w:rFonts w:hint="eastAsia"/>
          <w:color w:val="auto"/>
          <w:szCs w:val="21"/>
          <w:highlight w:val="none"/>
        </w:rPr>
        <w:t>试件放置试验机前，应将试件表面与上、下承压板面擦拭干净。</w:t>
      </w:r>
    </w:p>
    <w:p w14:paraId="63C0A61F">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5</w:t>
      </w:r>
      <w:r>
        <w:rPr>
          <w:rFonts w:hint="eastAsia"/>
          <w:color w:val="auto"/>
          <w:szCs w:val="21"/>
          <w:highlight w:val="none"/>
          <w:lang w:val="nb-NO"/>
        </w:rPr>
        <w:t xml:space="preserve"> </w:t>
      </w:r>
      <w:r>
        <w:rPr>
          <w:color w:val="auto"/>
          <w:szCs w:val="21"/>
          <w:highlight w:val="none"/>
          <w:lang w:val="nb-NO"/>
        </w:rPr>
        <w:t>将试件直立放置在试验机的下压板或钢垫板上，并使试件轴心与下压板中心对准</w:t>
      </w:r>
      <w:r>
        <w:rPr>
          <w:rFonts w:hint="eastAsia"/>
          <w:color w:val="auto"/>
          <w:szCs w:val="21"/>
          <w:highlight w:val="none"/>
          <w:lang w:val="nb-NO"/>
        </w:rPr>
        <w:t>。</w:t>
      </w:r>
    </w:p>
    <w:p w14:paraId="70B1DD0F">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6</w:t>
      </w:r>
      <w:r>
        <w:rPr>
          <w:rFonts w:hint="eastAsia"/>
          <w:color w:val="auto"/>
          <w:szCs w:val="21"/>
          <w:highlight w:val="none"/>
          <w:lang w:val="nb-NO"/>
        </w:rPr>
        <w:t xml:space="preserve"> </w:t>
      </w:r>
      <w:r>
        <w:rPr>
          <w:color w:val="auto"/>
          <w:szCs w:val="21"/>
          <w:highlight w:val="none"/>
          <w:lang w:val="nb-NO"/>
        </w:rPr>
        <w:t>开动试验机，</w:t>
      </w:r>
      <w:r>
        <w:rPr>
          <w:rFonts w:hint="eastAsia"/>
          <w:color w:val="auto"/>
          <w:szCs w:val="21"/>
          <w:highlight w:val="none"/>
          <w:lang w:val="nb-NO"/>
        </w:rPr>
        <w:t>试件表面与上下承压板或钢垫板应均匀接触。</w:t>
      </w:r>
    </w:p>
    <w:p w14:paraId="727A7491">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7</w:t>
      </w:r>
      <w:r>
        <w:rPr>
          <w:rFonts w:hint="eastAsia"/>
          <w:color w:val="auto"/>
          <w:szCs w:val="21"/>
          <w:highlight w:val="none"/>
          <w:lang w:val="nb-NO"/>
        </w:rPr>
        <w:t xml:space="preserve"> 加荷至</w:t>
      </w:r>
      <w:r>
        <w:rPr>
          <w:color w:val="auto"/>
          <w:szCs w:val="21"/>
          <w:highlight w:val="none"/>
          <w:lang w:val="nb-NO"/>
        </w:rPr>
        <w:t>基准应力为0.5MPa的初始荷载值</w:t>
      </w:r>
      <w:r>
        <w:rPr>
          <w:i/>
          <w:color w:val="auto"/>
          <w:szCs w:val="21"/>
          <w:highlight w:val="none"/>
          <w:lang w:val="nb-NO"/>
        </w:rPr>
        <w:t>F</w:t>
      </w:r>
      <w:r>
        <w:rPr>
          <w:color w:val="auto"/>
          <w:szCs w:val="21"/>
          <w:highlight w:val="none"/>
          <w:vertAlign w:val="subscript"/>
          <w:lang w:val="nb-NO"/>
        </w:rPr>
        <w:t>0</w:t>
      </w:r>
      <w:r>
        <w:rPr>
          <w:color w:val="auto"/>
          <w:szCs w:val="21"/>
          <w:highlight w:val="none"/>
          <w:lang w:val="nb-NO"/>
        </w:rPr>
        <w:t>，保持恒载60s并在以后的30s内记录每测点的变形读数</w:t>
      </w:r>
      <w:r>
        <w:rPr>
          <w:i/>
          <w:color w:val="auto"/>
          <w:szCs w:val="21"/>
          <w:highlight w:val="none"/>
          <w:lang w:val="nb-NO"/>
        </w:rPr>
        <w:t>ε</w:t>
      </w:r>
      <w:r>
        <w:rPr>
          <w:color w:val="auto"/>
          <w:szCs w:val="21"/>
          <w:highlight w:val="none"/>
          <w:vertAlign w:val="subscript"/>
          <w:lang w:val="nb-NO"/>
        </w:rPr>
        <w:t>0</w:t>
      </w:r>
      <w:r>
        <w:rPr>
          <w:rFonts w:hint="eastAsia"/>
          <w:iCs/>
          <w:color w:val="auto"/>
          <w:szCs w:val="21"/>
          <w:highlight w:val="none"/>
          <w:lang w:val="nb-NO"/>
        </w:rPr>
        <w:t>和</w:t>
      </w:r>
      <w:r>
        <w:rPr>
          <w:i/>
          <w:color w:val="auto"/>
          <w:szCs w:val="21"/>
          <w:highlight w:val="none"/>
          <w:lang w:val="nb-NO"/>
        </w:rPr>
        <w:t>ε</w:t>
      </w:r>
      <w:r>
        <w:rPr>
          <w:color w:val="auto"/>
          <w:szCs w:val="21"/>
          <w:highlight w:val="none"/>
          <w:vertAlign w:val="subscript"/>
        </w:rPr>
        <w:t>t</w:t>
      </w:r>
      <w:r>
        <w:rPr>
          <w:color w:val="auto"/>
          <w:szCs w:val="21"/>
          <w:highlight w:val="none"/>
          <w:vertAlign w:val="subscript"/>
          <w:lang w:val="nb-NO"/>
        </w:rPr>
        <w:t>0</w:t>
      </w:r>
      <w:r>
        <w:rPr>
          <w:color w:val="auto"/>
          <w:szCs w:val="21"/>
          <w:highlight w:val="none"/>
          <w:lang w:val="nb-NO"/>
        </w:rPr>
        <w:t>。应立即连续均匀地加荷至应力为轴心抗压强度</w:t>
      </w:r>
      <w:r>
        <w:rPr>
          <w:i/>
          <w:color w:val="auto"/>
          <w:szCs w:val="21"/>
          <w:highlight w:val="none"/>
          <w:lang w:val="nb-NO"/>
        </w:rPr>
        <w:t>f</w:t>
      </w:r>
      <w:r>
        <w:rPr>
          <w:color w:val="auto"/>
          <w:szCs w:val="21"/>
          <w:highlight w:val="none"/>
          <w:vertAlign w:val="subscript"/>
          <w:lang w:val="nb-NO"/>
        </w:rPr>
        <w:t>cp</w:t>
      </w:r>
      <w:r>
        <w:rPr>
          <w:color w:val="auto"/>
          <w:szCs w:val="21"/>
          <w:highlight w:val="none"/>
          <w:lang w:val="nb-NO"/>
        </w:rPr>
        <w:t>的1/3的荷载值</w:t>
      </w:r>
      <w:r>
        <w:rPr>
          <w:i/>
          <w:color w:val="auto"/>
          <w:szCs w:val="21"/>
          <w:highlight w:val="none"/>
          <w:lang w:val="nb-NO"/>
        </w:rPr>
        <w:t>F</w:t>
      </w:r>
      <w:r>
        <w:rPr>
          <w:color w:val="auto"/>
          <w:szCs w:val="21"/>
          <w:highlight w:val="none"/>
          <w:vertAlign w:val="subscript"/>
          <w:lang w:val="nb-NO"/>
        </w:rPr>
        <w:t>a</w:t>
      </w:r>
      <w:r>
        <w:rPr>
          <w:color w:val="auto"/>
          <w:szCs w:val="21"/>
          <w:highlight w:val="none"/>
          <w:lang w:val="nb-NO"/>
        </w:rPr>
        <w:t>，保持恒载60s并在以后的30s内记录每一测点的变形读数</w:t>
      </w:r>
      <w:r>
        <w:rPr>
          <w:i/>
          <w:color w:val="auto"/>
          <w:szCs w:val="21"/>
          <w:highlight w:val="none"/>
          <w:lang w:val="nb-NO"/>
        </w:rPr>
        <w:t>ε</w:t>
      </w:r>
      <w:r>
        <w:rPr>
          <w:color w:val="auto"/>
          <w:szCs w:val="21"/>
          <w:highlight w:val="none"/>
          <w:vertAlign w:val="subscript"/>
          <w:lang w:val="nb-NO"/>
        </w:rPr>
        <w:t>a</w:t>
      </w:r>
      <w:r>
        <w:rPr>
          <w:rFonts w:hint="eastAsia"/>
          <w:iCs/>
          <w:color w:val="auto"/>
          <w:szCs w:val="21"/>
          <w:highlight w:val="none"/>
          <w:lang w:val="nb-NO"/>
        </w:rPr>
        <w:t>和</w:t>
      </w:r>
      <w:r>
        <w:rPr>
          <w:i/>
          <w:color w:val="auto"/>
          <w:szCs w:val="21"/>
          <w:highlight w:val="none"/>
          <w:lang w:val="nb-NO"/>
        </w:rPr>
        <w:t>ε</w:t>
      </w:r>
      <w:r>
        <w:rPr>
          <w:color w:val="auto"/>
          <w:szCs w:val="21"/>
          <w:highlight w:val="none"/>
          <w:vertAlign w:val="subscript"/>
        </w:rPr>
        <w:t>ta</w:t>
      </w:r>
      <w:r>
        <w:rPr>
          <w:color w:val="auto"/>
          <w:szCs w:val="21"/>
          <w:highlight w:val="none"/>
          <w:lang w:val="nb-NO"/>
        </w:rPr>
        <w:t>。</w:t>
      </w:r>
      <w:r>
        <w:rPr>
          <w:rFonts w:hint="eastAsia"/>
          <w:color w:val="auto"/>
          <w:szCs w:val="21"/>
          <w:highlight w:val="none"/>
          <w:lang w:val="nb-NO"/>
        </w:rPr>
        <w:t>所用的加荷速度应符合本标准第6.2.3条中第5款的规定。</w:t>
      </w:r>
    </w:p>
    <w:p w14:paraId="5ED6E313">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8</w:t>
      </w:r>
      <w:r>
        <w:rPr>
          <w:rFonts w:hint="eastAsia"/>
          <w:color w:val="auto"/>
          <w:szCs w:val="21"/>
          <w:highlight w:val="none"/>
          <w:lang w:val="nb-NO"/>
        </w:rPr>
        <w:t xml:space="preserve"> 左右两侧的纵向或横向变形值之差分别与它们的平均值之比中，有一个比值大于20%时，应重新对中试件后重复本条第7款的规定。</w:t>
      </w:r>
      <w:r>
        <w:rPr>
          <w:color w:val="auto"/>
          <w:szCs w:val="21"/>
          <w:highlight w:val="none"/>
          <w:lang w:val="nb-NO"/>
        </w:rPr>
        <w:t>如果无法使其减少到</w:t>
      </w:r>
      <w:r>
        <w:rPr>
          <w:rFonts w:hint="eastAsia"/>
          <w:color w:val="auto"/>
          <w:szCs w:val="21"/>
          <w:highlight w:val="none"/>
          <w:lang w:val="nb-NO"/>
        </w:rPr>
        <w:t>小于</w:t>
      </w:r>
      <w:r>
        <w:rPr>
          <w:color w:val="auto"/>
          <w:szCs w:val="21"/>
          <w:highlight w:val="none"/>
          <w:lang w:val="nb-NO"/>
        </w:rPr>
        <w:t>20%时，则此次试验无效。</w:t>
      </w:r>
    </w:p>
    <w:p w14:paraId="74D2283D">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9在确认试件对中符合本条第</w:t>
      </w:r>
      <w:r>
        <w:rPr>
          <w:rFonts w:hint="eastAsia"/>
          <w:color w:val="auto"/>
          <w:szCs w:val="21"/>
          <w:highlight w:val="none"/>
          <w:lang w:val="nb-NO"/>
        </w:rPr>
        <w:t>8</w:t>
      </w:r>
      <w:r>
        <w:rPr>
          <w:color w:val="auto"/>
          <w:szCs w:val="21"/>
          <w:highlight w:val="none"/>
          <w:lang w:val="nb-NO"/>
        </w:rPr>
        <w:t>款规定后，以与加荷速度相同的速度卸荷至基准应力0.5MPa(</w:t>
      </w:r>
      <w:r>
        <w:rPr>
          <w:i/>
          <w:color w:val="auto"/>
          <w:szCs w:val="21"/>
          <w:highlight w:val="none"/>
          <w:lang w:val="nb-NO"/>
        </w:rPr>
        <w:t>F</w:t>
      </w:r>
      <w:r>
        <w:rPr>
          <w:color w:val="auto"/>
          <w:szCs w:val="21"/>
          <w:highlight w:val="none"/>
          <w:vertAlign w:val="subscript"/>
          <w:lang w:val="nb-NO"/>
        </w:rPr>
        <w:t>0</w:t>
      </w:r>
      <w:r>
        <w:rPr>
          <w:color w:val="auto"/>
          <w:szCs w:val="21"/>
          <w:highlight w:val="none"/>
          <w:lang w:val="nb-NO"/>
        </w:rPr>
        <w:t>)，恒载60s；然后用同样的加荷和卸荷速度以及60s的保持恒载(</w:t>
      </w:r>
      <w:r>
        <w:rPr>
          <w:i/>
          <w:color w:val="auto"/>
          <w:szCs w:val="21"/>
          <w:highlight w:val="none"/>
          <w:lang w:val="nb-NO"/>
        </w:rPr>
        <w:t>F</w:t>
      </w:r>
      <w:r>
        <w:rPr>
          <w:color w:val="auto"/>
          <w:szCs w:val="21"/>
          <w:highlight w:val="none"/>
          <w:vertAlign w:val="subscript"/>
          <w:lang w:val="nb-NO"/>
        </w:rPr>
        <w:t>0</w:t>
      </w:r>
      <w:r>
        <w:rPr>
          <w:color w:val="auto"/>
          <w:szCs w:val="21"/>
          <w:highlight w:val="none"/>
          <w:lang w:val="nb-NO"/>
        </w:rPr>
        <w:t>及</w:t>
      </w:r>
      <w:r>
        <w:rPr>
          <w:i/>
          <w:color w:val="auto"/>
          <w:szCs w:val="21"/>
          <w:highlight w:val="none"/>
          <w:lang w:val="nb-NO"/>
        </w:rPr>
        <w:t>F</w:t>
      </w:r>
      <w:r>
        <w:rPr>
          <w:color w:val="auto"/>
          <w:szCs w:val="21"/>
          <w:highlight w:val="none"/>
          <w:vertAlign w:val="subscript"/>
          <w:lang w:val="nb-NO"/>
        </w:rPr>
        <w:t>a</w:t>
      </w:r>
      <w:r>
        <w:rPr>
          <w:color w:val="auto"/>
          <w:szCs w:val="21"/>
          <w:highlight w:val="none"/>
          <w:lang w:val="nb-NO"/>
        </w:rPr>
        <w:t>)至少进行两次反复预压。在最后一次预压完成后，在基准应力0.5MPa(</w:t>
      </w:r>
      <w:r>
        <w:rPr>
          <w:i/>
          <w:color w:val="auto"/>
          <w:szCs w:val="21"/>
          <w:highlight w:val="none"/>
          <w:lang w:val="nb-NO"/>
        </w:rPr>
        <w:t>F</w:t>
      </w:r>
      <w:r>
        <w:rPr>
          <w:color w:val="auto"/>
          <w:szCs w:val="21"/>
          <w:highlight w:val="none"/>
          <w:vertAlign w:val="subscript"/>
          <w:lang w:val="nb-NO"/>
        </w:rPr>
        <w:t>0</w:t>
      </w:r>
      <w:r>
        <w:rPr>
          <w:color w:val="auto"/>
          <w:szCs w:val="21"/>
          <w:highlight w:val="none"/>
          <w:lang w:val="nb-NO"/>
        </w:rPr>
        <w:t>)持荷60s并在以后的30s内记录每一测点的变形读数</w:t>
      </w:r>
      <w:r>
        <w:rPr>
          <w:i/>
          <w:color w:val="auto"/>
          <w:szCs w:val="21"/>
          <w:highlight w:val="none"/>
          <w:lang w:val="nb-NO"/>
        </w:rPr>
        <w:t>ε</w:t>
      </w:r>
      <w:r>
        <w:rPr>
          <w:color w:val="auto"/>
          <w:szCs w:val="21"/>
          <w:highlight w:val="none"/>
          <w:vertAlign w:val="subscript"/>
          <w:lang w:val="nb-NO"/>
        </w:rPr>
        <w:t>0</w:t>
      </w:r>
      <w:r>
        <w:rPr>
          <w:rFonts w:hint="eastAsia"/>
          <w:iCs/>
          <w:color w:val="auto"/>
          <w:szCs w:val="21"/>
          <w:highlight w:val="none"/>
          <w:lang w:val="nb-NO"/>
        </w:rPr>
        <w:t>和</w:t>
      </w:r>
      <w:r>
        <w:rPr>
          <w:i/>
          <w:color w:val="auto"/>
          <w:szCs w:val="21"/>
          <w:highlight w:val="none"/>
          <w:lang w:val="nb-NO"/>
        </w:rPr>
        <w:t>ε</w:t>
      </w:r>
      <w:r>
        <w:rPr>
          <w:color w:val="auto"/>
          <w:szCs w:val="21"/>
          <w:highlight w:val="none"/>
          <w:vertAlign w:val="subscript"/>
        </w:rPr>
        <w:t>t</w:t>
      </w:r>
      <w:r>
        <w:rPr>
          <w:color w:val="auto"/>
          <w:szCs w:val="21"/>
          <w:highlight w:val="none"/>
          <w:vertAlign w:val="subscript"/>
          <w:lang w:val="nb-NO"/>
        </w:rPr>
        <w:t>0</w:t>
      </w:r>
      <w:r>
        <w:rPr>
          <w:color w:val="auto"/>
          <w:szCs w:val="21"/>
          <w:highlight w:val="none"/>
          <w:lang w:val="nb-NO"/>
        </w:rPr>
        <w:t>；再用同样的加荷速度加荷至</w:t>
      </w:r>
      <w:r>
        <w:rPr>
          <w:i/>
          <w:color w:val="auto"/>
          <w:szCs w:val="21"/>
          <w:highlight w:val="none"/>
          <w:lang w:val="nb-NO"/>
        </w:rPr>
        <w:t>F</w:t>
      </w:r>
      <w:r>
        <w:rPr>
          <w:color w:val="auto"/>
          <w:szCs w:val="21"/>
          <w:highlight w:val="none"/>
          <w:vertAlign w:val="subscript"/>
          <w:lang w:val="nb-NO"/>
        </w:rPr>
        <w:t>a</w:t>
      </w:r>
      <w:r>
        <w:rPr>
          <w:color w:val="auto"/>
          <w:szCs w:val="21"/>
          <w:highlight w:val="none"/>
          <w:lang w:val="nb-NO"/>
        </w:rPr>
        <w:t>，持荷60s并在以后的30s内记录每一测点的变形读数</w:t>
      </w:r>
      <w:r>
        <w:rPr>
          <w:i/>
          <w:color w:val="auto"/>
          <w:szCs w:val="21"/>
          <w:highlight w:val="none"/>
          <w:lang w:val="nb-NO"/>
        </w:rPr>
        <w:t>ε</w:t>
      </w:r>
      <w:r>
        <w:rPr>
          <w:color w:val="auto"/>
          <w:szCs w:val="21"/>
          <w:highlight w:val="none"/>
          <w:vertAlign w:val="subscript"/>
          <w:lang w:val="nb-NO"/>
        </w:rPr>
        <w:t>a</w:t>
      </w:r>
      <w:r>
        <w:rPr>
          <w:rFonts w:hint="eastAsia"/>
          <w:iCs/>
          <w:color w:val="auto"/>
          <w:szCs w:val="21"/>
          <w:highlight w:val="none"/>
          <w:lang w:val="nb-NO"/>
        </w:rPr>
        <w:t>和</w:t>
      </w:r>
      <w:r>
        <w:rPr>
          <w:i/>
          <w:color w:val="auto"/>
          <w:szCs w:val="21"/>
          <w:highlight w:val="none"/>
          <w:lang w:val="nb-NO"/>
        </w:rPr>
        <w:t>ε</w:t>
      </w:r>
      <w:r>
        <w:rPr>
          <w:color w:val="auto"/>
          <w:szCs w:val="21"/>
          <w:highlight w:val="none"/>
          <w:vertAlign w:val="subscript"/>
        </w:rPr>
        <w:t>ta</w:t>
      </w:r>
      <w:r>
        <w:rPr>
          <w:color w:val="auto"/>
          <w:szCs w:val="21"/>
          <w:highlight w:val="none"/>
          <w:lang w:val="nb-NO"/>
        </w:rPr>
        <w:t>，</w:t>
      </w:r>
      <w:r>
        <w:rPr>
          <w:rFonts w:hint="eastAsia"/>
          <w:color w:val="auto"/>
          <w:szCs w:val="21"/>
          <w:highlight w:val="none"/>
          <w:lang w:val="nb-NO"/>
        </w:rPr>
        <w:t>如</w:t>
      </w:r>
      <w:r>
        <w:rPr>
          <w:color w:val="auto"/>
          <w:szCs w:val="21"/>
          <w:highlight w:val="none"/>
          <w:lang w:val="nb-NO"/>
        </w:rPr>
        <w:t>图</w:t>
      </w:r>
      <w:r>
        <w:rPr>
          <w:rFonts w:hint="eastAsia"/>
          <w:color w:val="auto"/>
          <w:szCs w:val="21"/>
          <w:highlight w:val="none"/>
          <w:lang w:val="nb-NO"/>
        </w:rPr>
        <w:t>6.4</w:t>
      </w:r>
      <w:r>
        <w:rPr>
          <w:color w:val="auto"/>
          <w:szCs w:val="21"/>
          <w:highlight w:val="none"/>
          <w:lang w:val="nb-NO"/>
        </w:rPr>
        <w:t>.</w:t>
      </w:r>
      <w:r>
        <w:rPr>
          <w:rFonts w:hint="eastAsia"/>
          <w:color w:val="auto"/>
          <w:szCs w:val="21"/>
          <w:highlight w:val="none"/>
          <w:lang w:val="nb-NO"/>
        </w:rPr>
        <w:t>3所示</w:t>
      </w:r>
      <w:r>
        <w:rPr>
          <w:color w:val="auto"/>
          <w:szCs w:val="21"/>
          <w:highlight w:val="none"/>
          <w:lang w:val="nb-NO"/>
        </w:rPr>
        <w:t>。</w:t>
      </w:r>
    </w:p>
    <w:p w14:paraId="3D5EB248">
      <w:pPr>
        <w:kinsoku/>
        <w:overflowPunct/>
        <w:bidi w:val="0"/>
        <w:spacing w:before="156" w:beforeLines="50" w:line="360" w:lineRule="auto"/>
        <w:jc w:val="center"/>
        <w:rPr>
          <w:color w:val="auto"/>
          <w:szCs w:val="21"/>
          <w:highlight w:val="none"/>
          <w:lang w:val="nb-NO"/>
        </w:rPr>
      </w:pPr>
      <w:r>
        <w:rPr>
          <w:color w:val="auto"/>
          <w:highlight w:val="none"/>
        </w:rPr>
        <w:drawing>
          <wp:inline distT="0" distB="0" distL="114300" distR="114300">
            <wp:extent cx="5063490" cy="2586355"/>
            <wp:effectExtent l="0" t="0" r="0" b="0"/>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pic:cNvPicPr>
                  </pic:nvPicPr>
                  <pic:blipFill>
                    <a:blip r:embed="rId55" cstate="print"/>
                    <a:stretch>
                      <a:fillRect/>
                    </a:stretch>
                  </pic:blipFill>
                  <pic:spPr>
                    <a:xfrm>
                      <a:off x="0" y="0"/>
                      <a:ext cx="5063490" cy="2586355"/>
                    </a:xfrm>
                    <a:prstGeom prst="rect">
                      <a:avLst/>
                    </a:prstGeom>
                    <a:noFill/>
                    <a:ln w="9525">
                      <a:noFill/>
                    </a:ln>
                  </pic:spPr>
                </pic:pic>
              </a:graphicData>
            </a:graphic>
          </wp:inline>
        </w:drawing>
      </w:r>
    </w:p>
    <w:p w14:paraId="74EA5363">
      <w:pPr>
        <w:kinsoku/>
        <w:overflowPunct/>
        <w:bidi w:val="0"/>
        <w:spacing w:before="156" w:beforeLines="50" w:line="360" w:lineRule="auto"/>
        <w:jc w:val="center"/>
        <w:rPr>
          <w:color w:val="auto"/>
          <w:szCs w:val="21"/>
          <w:highlight w:val="none"/>
          <w:lang w:val="nb-NO"/>
        </w:rPr>
      </w:pPr>
      <w:r>
        <w:rPr>
          <w:rFonts w:hint="eastAsia"/>
          <w:color w:val="auto"/>
          <w:szCs w:val="21"/>
          <w:highlight w:val="none"/>
          <w:lang w:val="nb-NO"/>
        </w:rPr>
        <w:t>图6.4.3  泊松比试验加荷方法示意图</w:t>
      </w:r>
    </w:p>
    <w:p w14:paraId="5C8DF7FF">
      <w:pPr>
        <w:kinsoku/>
        <w:overflowPunct/>
        <w:bidi w:val="0"/>
        <w:spacing w:before="156" w:beforeLines="50" w:line="360" w:lineRule="auto"/>
        <w:ind w:firstLine="315" w:firstLineChars="150"/>
        <w:rPr>
          <w:bCs/>
          <w:color w:val="auto"/>
          <w:szCs w:val="21"/>
          <w:highlight w:val="none"/>
          <w:lang w:val="nb-NO"/>
        </w:rPr>
      </w:pPr>
      <w:r>
        <w:rPr>
          <w:bCs/>
          <w:color w:val="auto"/>
          <w:szCs w:val="21"/>
          <w:highlight w:val="none"/>
          <w:lang w:val="nb-NO"/>
        </w:rPr>
        <w:t>10卸除变形测量仪，以同样的速度加荷至破坏，记录破坏荷载</w:t>
      </w:r>
      <w:r>
        <w:rPr>
          <w:rFonts w:hint="eastAsia"/>
          <w:bCs/>
          <w:color w:val="auto"/>
          <w:szCs w:val="21"/>
          <w:highlight w:val="none"/>
          <w:lang w:val="nb-NO"/>
        </w:rPr>
        <w:t>；</w:t>
      </w:r>
      <w:r>
        <w:rPr>
          <w:bCs/>
          <w:color w:val="auto"/>
          <w:szCs w:val="21"/>
          <w:highlight w:val="none"/>
          <w:lang w:val="nb-NO"/>
        </w:rPr>
        <w:t>如果</w:t>
      </w:r>
      <w:r>
        <w:rPr>
          <w:rFonts w:hint="eastAsia"/>
          <w:bCs/>
          <w:color w:val="auto"/>
          <w:szCs w:val="21"/>
          <w:highlight w:val="none"/>
          <w:lang w:val="nb-NO"/>
        </w:rPr>
        <w:t>测定泊松比之后的</w:t>
      </w:r>
      <w:r>
        <w:rPr>
          <w:bCs/>
          <w:color w:val="auto"/>
          <w:szCs w:val="21"/>
          <w:highlight w:val="none"/>
          <w:lang w:val="nb-NO"/>
        </w:rPr>
        <w:t>试件</w:t>
      </w:r>
      <w:r>
        <w:rPr>
          <w:rFonts w:hint="eastAsia"/>
          <w:bCs/>
          <w:color w:val="auto"/>
          <w:szCs w:val="21"/>
          <w:highlight w:val="none"/>
          <w:lang w:val="nb-NO"/>
        </w:rPr>
        <w:t>轴心</w:t>
      </w:r>
      <w:r>
        <w:rPr>
          <w:bCs/>
          <w:color w:val="auto"/>
          <w:szCs w:val="21"/>
          <w:highlight w:val="none"/>
          <w:lang w:val="nb-NO"/>
        </w:rPr>
        <w:t>抗压强度与</w:t>
      </w:r>
      <w:r>
        <w:rPr>
          <w:bCs/>
          <w:i/>
          <w:color w:val="auto"/>
          <w:szCs w:val="21"/>
          <w:highlight w:val="none"/>
          <w:lang w:val="nb-NO"/>
        </w:rPr>
        <w:t>f</w:t>
      </w:r>
      <w:r>
        <w:rPr>
          <w:bCs/>
          <w:color w:val="auto"/>
          <w:szCs w:val="21"/>
          <w:highlight w:val="none"/>
          <w:vertAlign w:val="subscript"/>
          <w:lang w:val="nb-NO"/>
        </w:rPr>
        <w:t>cp</w:t>
      </w:r>
      <w:r>
        <w:rPr>
          <w:bCs/>
          <w:color w:val="auto"/>
          <w:szCs w:val="21"/>
          <w:highlight w:val="none"/>
          <w:lang w:val="nb-NO"/>
        </w:rPr>
        <w:t>之差超过</w:t>
      </w:r>
      <w:r>
        <w:rPr>
          <w:bCs/>
          <w:i/>
          <w:color w:val="auto"/>
          <w:szCs w:val="21"/>
          <w:highlight w:val="none"/>
          <w:lang w:val="nb-NO"/>
        </w:rPr>
        <w:t>f</w:t>
      </w:r>
      <w:r>
        <w:rPr>
          <w:bCs/>
          <w:color w:val="auto"/>
          <w:szCs w:val="21"/>
          <w:highlight w:val="none"/>
          <w:vertAlign w:val="subscript"/>
          <w:lang w:val="nb-NO"/>
        </w:rPr>
        <w:t>cp</w:t>
      </w:r>
      <w:r>
        <w:rPr>
          <w:bCs/>
          <w:color w:val="auto"/>
          <w:szCs w:val="21"/>
          <w:highlight w:val="none"/>
          <w:lang w:val="nb-NO"/>
        </w:rPr>
        <w:t>的20%时，则应在报告中注明。</w:t>
      </w:r>
    </w:p>
    <w:p w14:paraId="4D6FD55E">
      <w:pPr>
        <w:kinsoku/>
        <w:overflowPunct/>
        <w:bidi w:val="0"/>
        <w:spacing w:before="156" w:beforeLines="50" w:line="360" w:lineRule="auto"/>
        <w:rPr>
          <w:bCs/>
          <w:color w:val="auto"/>
          <w:szCs w:val="21"/>
          <w:highlight w:val="none"/>
          <w:lang w:val="nb-NO"/>
        </w:rPr>
      </w:pPr>
      <w:r>
        <w:rPr>
          <w:rFonts w:hint="eastAsia"/>
          <w:bCs/>
          <w:color w:val="auto"/>
          <w:szCs w:val="21"/>
          <w:highlight w:val="none"/>
          <w:lang w:val="nb-NO"/>
        </w:rPr>
        <w:t>6.4</w:t>
      </w:r>
      <w:r>
        <w:rPr>
          <w:bCs/>
          <w:color w:val="auto"/>
          <w:szCs w:val="21"/>
          <w:highlight w:val="none"/>
          <w:lang w:val="nb-NO"/>
        </w:rPr>
        <w:t>.4</w:t>
      </w:r>
      <w:r>
        <w:rPr>
          <w:rFonts w:hint="eastAsia"/>
          <w:bCs/>
          <w:color w:val="auto"/>
          <w:szCs w:val="21"/>
          <w:highlight w:val="none"/>
          <w:lang w:val="nb-NO"/>
        </w:rPr>
        <w:t xml:space="preserve"> </w:t>
      </w:r>
      <w:r>
        <w:rPr>
          <w:rFonts w:hint="eastAsia"/>
          <w:color w:val="auto"/>
          <w:highlight w:val="none"/>
        </w:rPr>
        <w:t>超高性能</w:t>
      </w:r>
      <w:r>
        <w:rPr>
          <w:bCs/>
          <w:color w:val="auto"/>
          <w:szCs w:val="21"/>
          <w:highlight w:val="none"/>
          <w:lang w:val="nb-NO"/>
        </w:rPr>
        <w:t>混凝土</w:t>
      </w:r>
      <w:r>
        <w:rPr>
          <w:rFonts w:hint="eastAsia"/>
          <w:bCs/>
          <w:color w:val="auto"/>
          <w:szCs w:val="21"/>
          <w:highlight w:val="none"/>
          <w:lang w:val="nb-NO"/>
        </w:rPr>
        <w:t>泊松比</w:t>
      </w:r>
      <w:r>
        <w:rPr>
          <w:bCs/>
          <w:color w:val="auto"/>
          <w:szCs w:val="21"/>
          <w:highlight w:val="none"/>
          <w:lang w:val="nb-NO"/>
        </w:rPr>
        <w:t>试验结果计算及确定</w:t>
      </w:r>
      <w:r>
        <w:rPr>
          <w:rFonts w:hint="eastAsia"/>
          <w:bCs/>
          <w:color w:val="auto"/>
          <w:szCs w:val="21"/>
          <w:highlight w:val="none"/>
          <w:lang w:val="nb-NO"/>
        </w:rPr>
        <w:t>应</w:t>
      </w:r>
      <w:r>
        <w:rPr>
          <w:bCs/>
          <w:color w:val="auto"/>
          <w:szCs w:val="21"/>
          <w:highlight w:val="none"/>
          <w:lang w:val="nb-NO"/>
        </w:rPr>
        <w:t>按下列方法进行：</w:t>
      </w:r>
    </w:p>
    <w:p w14:paraId="565947EC">
      <w:pPr>
        <w:kinsoku/>
        <w:overflowPunct/>
        <w:bidi w:val="0"/>
        <w:spacing w:before="156" w:beforeLines="50" w:line="360" w:lineRule="auto"/>
        <w:ind w:firstLine="315" w:firstLineChars="150"/>
        <w:rPr>
          <w:bCs/>
          <w:color w:val="auto"/>
          <w:szCs w:val="21"/>
          <w:highlight w:val="none"/>
          <w:lang w:val="nb-NO"/>
        </w:rPr>
      </w:pPr>
      <w:r>
        <w:rPr>
          <w:bCs/>
          <w:color w:val="auto"/>
          <w:szCs w:val="21"/>
          <w:highlight w:val="none"/>
          <w:lang w:val="nb-NO"/>
        </w:rPr>
        <w:t>1</w:t>
      </w:r>
      <w:r>
        <w:rPr>
          <w:rFonts w:hint="eastAsia"/>
          <w:bCs/>
          <w:color w:val="auto"/>
          <w:szCs w:val="21"/>
          <w:highlight w:val="none"/>
          <w:lang w:val="nb-NO"/>
        </w:rPr>
        <w:t xml:space="preserve"> </w:t>
      </w:r>
      <w:r>
        <w:rPr>
          <w:rFonts w:hint="eastAsia"/>
          <w:color w:val="auto"/>
          <w:highlight w:val="none"/>
        </w:rPr>
        <w:t>超高性能</w:t>
      </w:r>
      <w:r>
        <w:rPr>
          <w:bCs/>
          <w:color w:val="auto"/>
          <w:szCs w:val="21"/>
          <w:highlight w:val="none"/>
          <w:lang w:val="nb-NO"/>
        </w:rPr>
        <w:t>混凝土</w:t>
      </w:r>
      <w:r>
        <w:rPr>
          <w:rFonts w:hint="eastAsia"/>
          <w:bCs/>
          <w:color w:val="auto"/>
          <w:szCs w:val="21"/>
          <w:highlight w:val="none"/>
          <w:lang w:val="nb-NO"/>
        </w:rPr>
        <w:t>泊松比</w:t>
      </w:r>
      <w:r>
        <w:rPr>
          <w:bCs/>
          <w:color w:val="auto"/>
          <w:szCs w:val="21"/>
          <w:highlight w:val="none"/>
          <w:lang w:val="nb-NO"/>
        </w:rPr>
        <w:t>值应按下式计算：</w:t>
      </w:r>
    </w:p>
    <w:p w14:paraId="3A28FB3B">
      <w:pPr>
        <w:tabs>
          <w:tab w:val="left" w:pos="210"/>
        </w:tabs>
        <w:kinsoku/>
        <w:wordWrap w:val="0"/>
        <w:overflowPunct/>
        <w:bidi w:val="0"/>
        <w:spacing w:before="156" w:beforeLines="50" w:line="360" w:lineRule="auto"/>
        <w:ind w:firstLine="315" w:firstLineChars="150"/>
        <w:jc w:val="right"/>
        <w:rPr>
          <w:color w:val="auto"/>
          <w:szCs w:val="21"/>
          <w:highlight w:val="none"/>
          <w:lang w:val="nb-NO"/>
        </w:rPr>
      </w:pPr>
      <w:r>
        <w:rPr>
          <w:rFonts w:hint="eastAsia"/>
          <w:color w:val="auto"/>
          <w:position w:val="-30"/>
          <w:szCs w:val="21"/>
          <w:highlight w:val="none"/>
          <w:lang w:val="nb-NO"/>
        </w:rPr>
        <w:object>
          <v:shape id="_x0000_i1046" o:spt="75" type="#_x0000_t75" style="height:34.25pt;width:63.85pt;" o:ole="t" filled="f" o:preferrelative="t" stroked="f" coordsize="21600,21600">
            <v:path/>
            <v:fill on="f" focussize="0,0"/>
            <v:stroke on="f" joinstyle="miter"/>
            <v:imagedata r:id="rId61" o:title=""/>
            <o:lock v:ext="edit" aspectratio="t"/>
            <w10:wrap type="none"/>
            <w10:anchorlock/>
          </v:shape>
          <o:OLEObject Type="Embed" ProgID="Equation.DSMT4" ShapeID="_x0000_i1046" DrawAspect="Content" ObjectID="_1468075746" r:id="rId60">
            <o:LockedField>false</o:LockedField>
          </o:OLEObject>
        </w:object>
      </w:r>
      <w:r>
        <w:rPr>
          <w:rFonts w:hint="eastAsia"/>
          <w:color w:val="auto"/>
          <w:szCs w:val="21"/>
          <w:highlight w:val="none"/>
          <w:lang w:val="nb-NO"/>
        </w:rPr>
        <w:t xml:space="preserve">                             （6.4</w:t>
      </w:r>
      <w:r>
        <w:rPr>
          <w:color w:val="auto"/>
          <w:szCs w:val="21"/>
          <w:highlight w:val="none"/>
          <w:lang w:val="nb-NO"/>
        </w:rPr>
        <w:t>.</w:t>
      </w:r>
      <w:r>
        <w:rPr>
          <w:rFonts w:hint="eastAsia"/>
          <w:color w:val="auto"/>
          <w:szCs w:val="21"/>
          <w:highlight w:val="none"/>
          <w:lang w:val="nb-NO"/>
        </w:rPr>
        <w:t>4）</w:t>
      </w:r>
    </w:p>
    <w:p w14:paraId="513ADFBF">
      <w:pPr>
        <w:kinsoku/>
        <w:overflowPunct/>
        <w:bidi w:val="0"/>
        <w:spacing w:line="360" w:lineRule="auto"/>
        <w:rPr>
          <w:color w:val="auto"/>
          <w:szCs w:val="21"/>
          <w:highlight w:val="none"/>
          <w:lang w:val="nb-NO"/>
        </w:rPr>
      </w:pPr>
      <w:r>
        <w:rPr>
          <w:color w:val="auto"/>
          <w:szCs w:val="21"/>
          <w:highlight w:val="none"/>
          <w:lang w:val="nb-NO"/>
        </w:rPr>
        <w:t>式中</w:t>
      </w:r>
      <w:r>
        <w:rPr>
          <w:rFonts w:hint="eastAsia"/>
          <w:color w:val="auto"/>
          <w:szCs w:val="21"/>
          <w:highlight w:val="none"/>
          <w:lang w:val="nb-NO"/>
        </w:rPr>
        <w:t>：</w:t>
      </w:r>
      <w:r>
        <w:rPr>
          <w:rFonts w:hint="eastAsia"/>
          <w:i/>
          <w:color w:val="auto"/>
          <w:szCs w:val="21"/>
          <w:highlight w:val="none"/>
          <w:lang w:val="nb-NO"/>
        </w:rPr>
        <w:t>μ</w:t>
      </w:r>
      <w:r>
        <w:rPr>
          <w:color w:val="auto"/>
          <w:szCs w:val="21"/>
          <w:highlight w:val="none"/>
          <w:lang w:val="nb-NO"/>
        </w:rPr>
        <w:t>——</w:t>
      </w:r>
      <w:r>
        <w:rPr>
          <w:rFonts w:hint="eastAsia"/>
          <w:color w:val="auto"/>
          <w:highlight w:val="none"/>
        </w:rPr>
        <w:t>超高性能</w:t>
      </w:r>
      <w:r>
        <w:rPr>
          <w:color w:val="auto"/>
          <w:szCs w:val="21"/>
          <w:highlight w:val="none"/>
          <w:lang w:val="nb-NO"/>
        </w:rPr>
        <w:t>混凝土</w:t>
      </w:r>
      <w:r>
        <w:rPr>
          <w:rFonts w:hint="eastAsia"/>
          <w:color w:val="auto"/>
          <w:szCs w:val="21"/>
          <w:highlight w:val="none"/>
          <w:lang w:val="nb-NO"/>
        </w:rPr>
        <w:t>泊松比，计算结果应精确至0.01；</w:t>
      </w:r>
    </w:p>
    <w:p w14:paraId="5AA69001">
      <w:pPr>
        <w:kinsoku/>
        <w:overflowPunct/>
        <w:bidi w:val="0"/>
        <w:spacing w:line="360" w:lineRule="auto"/>
        <w:ind w:firstLine="630" w:firstLineChars="300"/>
        <w:rPr>
          <w:color w:val="auto"/>
          <w:szCs w:val="21"/>
          <w:highlight w:val="none"/>
          <w:lang w:val="nb-NO"/>
        </w:rPr>
      </w:pPr>
      <w:r>
        <w:rPr>
          <w:rFonts w:hint="eastAsia"/>
          <w:color w:val="auto"/>
          <w:position w:val="-12"/>
          <w:szCs w:val="21"/>
          <w:highlight w:val="none"/>
        </w:rPr>
        <w:object>
          <v:shape id="_x0000_i1047" o:spt="75" type="#_x0000_t75" style="height:19.05pt;width:16.75pt;" o:ole="t" filled="f" o:preferrelative="t" stroked="f" coordsize="21600,21600">
            <v:path/>
            <v:fill on="f" focussize="0,0"/>
            <v:stroke on="f" joinstyle="miter"/>
            <v:imagedata r:id="rId63" o:title=""/>
            <o:lock v:ext="edit" aspectratio="t"/>
            <w10:wrap type="none"/>
            <w10:anchorlock/>
          </v:shape>
          <o:OLEObject Type="Embed" ProgID="Equation.DSMT4" ShapeID="_x0000_i1047" DrawAspect="Content" ObjectID="_1468075747" r:id="rId62">
            <o:LockedField>false</o:LockedField>
          </o:OLEObject>
        </w:object>
      </w:r>
      <w:r>
        <w:rPr>
          <w:color w:val="auto"/>
          <w:szCs w:val="21"/>
          <w:highlight w:val="none"/>
          <w:lang w:val="nb-NO"/>
        </w:rPr>
        <w:t>——</w:t>
      </w:r>
      <w:r>
        <w:rPr>
          <w:color w:val="auto"/>
          <w:position w:val="-12"/>
          <w:szCs w:val="21"/>
          <w:highlight w:val="none"/>
          <w:lang w:val="nb-NO"/>
        </w:rPr>
        <w:object>
          <v:shape id="_x0000_i1048" o:spt="75" type="#_x0000_t75" style="height:19.05pt;width:14.4pt;" o:ole="t" filled="f" o:preferrelative="t" stroked="f" coordsize="21600,21600">
            <v:path/>
            <v:fill on="f" focussize="0,0"/>
            <v:stroke on="f" joinstyle="miter"/>
            <v:imagedata r:id="rId65" o:title=""/>
            <o:lock v:ext="edit" aspectratio="t"/>
            <w10:wrap type="none"/>
            <w10:anchorlock/>
          </v:shape>
          <o:OLEObject Type="Embed" ProgID="Equation.DSMT4" ShapeID="_x0000_i1048" DrawAspect="Content" ObjectID="_1468075748" r:id="rId64">
            <o:LockedField>false</o:LockedField>
          </o:OLEObject>
        </w:object>
      </w:r>
      <w:r>
        <w:rPr>
          <w:color w:val="auto"/>
          <w:szCs w:val="21"/>
          <w:highlight w:val="none"/>
          <w:lang w:val="nb-NO"/>
        </w:rPr>
        <w:t>时试件两侧</w:t>
      </w:r>
      <w:r>
        <w:rPr>
          <w:rFonts w:hint="eastAsia"/>
          <w:color w:val="auto"/>
          <w:szCs w:val="21"/>
          <w:highlight w:val="none"/>
          <w:lang w:val="nb-NO"/>
        </w:rPr>
        <w:t>横向应变</w:t>
      </w:r>
      <w:r>
        <w:rPr>
          <w:color w:val="auto"/>
          <w:szCs w:val="21"/>
          <w:highlight w:val="none"/>
          <w:lang w:val="nb-NO"/>
        </w:rPr>
        <w:t>的平均值</w:t>
      </w:r>
      <w:r>
        <w:rPr>
          <w:rFonts w:hint="eastAsia"/>
          <w:color w:val="auto"/>
          <w:szCs w:val="21"/>
          <w:highlight w:val="none"/>
          <w:lang w:val="nb-NO"/>
        </w:rPr>
        <w:t>（10</w:t>
      </w:r>
      <w:r>
        <w:rPr>
          <w:color w:val="auto"/>
          <w:szCs w:val="21"/>
          <w:highlight w:val="none"/>
          <w:vertAlign w:val="superscript"/>
          <w:lang w:val="nb-NO"/>
        </w:rPr>
        <w:t>-6</w:t>
      </w:r>
      <w:r>
        <w:rPr>
          <w:rFonts w:hint="eastAsia"/>
          <w:color w:val="auto"/>
          <w:szCs w:val="21"/>
          <w:highlight w:val="none"/>
          <w:lang w:val="nb-NO"/>
        </w:rPr>
        <w:t>）；</w:t>
      </w:r>
    </w:p>
    <w:p w14:paraId="42EF6C9A">
      <w:pPr>
        <w:kinsoku/>
        <w:overflowPunct/>
        <w:bidi w:val="0"/>
        <w:spacing w:line="360" w:lineRule="auto"/>
        <w:ind w:firstLine="644" w:firstLineChars="307"/>
        <w:rPr>
          <w:color w:val="auto"/>
          <w:szCs w:val="21"/>
          <w:highlight w:val="none"/>
          <w:lang w:val="nb-NO"/>
        </w:rPr>
      </w:pPr>
      <w:r>
        <w:rPr>
          <w:rFonts w:hint="eastAsia"/>
          <w:color w:val="auto"/>
          <w:position w:val="-12"/>
          <w:szCs w:val="21"/>
          <w:highlight w:val="none"/>
        </w:rPr>
        <w:object>
          <v:shape id="_x0000_i1049" o:spt="75" type="#_x0000_t75" style="height:19.05pt;width:16.75pt;" o:ole="t" filled="f" o:preferrelative="t" stroked="f" coordsize="21600,21600">
            <v:path/>
            <v:fill on="f" focussize="0,0"/>
            <v:stroke on="f" joinstyle="miter"/>
            <v:imagedata r:id="rId67" o:title=""/>
            <o:lock v:ext="edit" aspectratio="t"/>
            <w10:wrap type="none"/>
            <w10:anchorlock/>
          </v:shape>
          <o:OLEObject Type="Embed" ProgID="Equation.DSMT4" ShapeID="_x0000_i1049" DrawAspect="Content" ObjectID="_1468075749" r:id="rId66">
            <o:LockedField>false</o:LockedField>
          </o:OLEObject>
        </w:object>
      </w:r>
      <w:r>
        <w:rPr>
          <w:color w:val="auto"/>
          <w:szCs w:val="21"/>
          <w:highlight w:val="none"/>
          <w:lang w:val="nb-NO"/>
        </w:rPr>
        <w:t>——</w:t>
      </w:r>
      <w:r>
        <w:rPr>
          <w:color w:val="auto"/>
          <w:position w:val="-12"/>
          <w:szCs w:val="21"/>
          <w:highlight w:val="none"/>
          <w:lang w:val="nb-NO"/>
        </w:rPr>
        <w:object>
          <v:shape id="_x0000_i1050" o:spt="75" type="#_x0000_t75" style="height:19.05pt;width:14.4pt;" o:ole="t" filled="f" o:preferrelative="t" stroked="f" coordsize="21600,21600">
            <v:path/>
            <v:fill on="f" focussize="0,0"/>
            <v:stroke on="f" joinstyle="miter"/>
            <v:imagedata r:id="rId69" o:title=""/>
            <o:lock v:ext="edit" aspectratio="t"/>
            <w10:wrap type="none"/>
            <w10:anchorlock/>
          </v:shape>
          <o:OLEObject Type="Embed" ProgID="Equation.DSMT4" ShapeID="_x0000_i1050" DrawAspect="Content" ObjectID="_1468075750" r:id="rId68">
            <o:LockedField>false</o:LockedField>
          </o:OLEObject>
        </w:object>
      </w:r>
      <w:r>
        <w:rPr>
          <w:color w:val="auto"/>
          <w:szCs w:val="21"/>
          <w:highlight w:val="none"/>
          <w:lang w:val="nb-NO"/>
        </w:rPr>
        <w:t>时试件两侧</w:t>
      </w:r>
      <w:r>
        <w:rPr>
          <w:rFonts w:hint="eastAsia"/>
          <w:color w:val="auto"/>
          <w:szCs w:val="21"/>
          <w:highlight w:val="none"/>
          <w:lang w:val="nb-NO"/>
        </w:rPr>
        <w:t>横向应变</w:t>
      </w:r>
      <w:r>
        <w:rPr>
          <w:color w:val="auto"/>
          <w:szCs w:val="21"/>
          <w:highlight w:val="none"/>
          <w:lang w:val="nb-NO"/>
        </w:rPr>
        <w:t>的平均值</w:t>
      </w:r>
      <w:r>
        <w:rPr>
          <w:rFonts w:hint="eastAsia"/>
          <w:color w:val="auto"/>
          <w:szCs w:val="21"/>
          <w:highlight w:val="none"/>
          <w:lang w:val="nb-NO"/>
        </w:rPr>
        <w:t>（10</w:t>
      </w:r>
      <w:r>
        <w:rPr>
          <w:color w:val="auto"/>
          <w:szCs w:val="21"/>
          <w:highlight w:val="none"/>
          <w:vertAlign w:val="superscript"/>
          <w:lang w:val="nb-NO"/>
        </w:rPr>
        <w:t>-6</w:t>
      </w:r>
      <w:r>
        <w:rPr>
          <w:rFonts w:hint="eastAsia"/>
          <w:color w:val="auto"/>
          <w:szCs w:val="21"/>
          <w:highlight w:val="none"/>
          <w:lang w:val="nb-NO"/>
        </w:rPr>
        <w:t>）；</w:t>
      </w:r>
    </w:p>
    <w:p w14:paraId="76261B8C">
      <w:pPr>
        <w:kinsoku/>
        <w:overflowPunct/>
        <w:bidi w:val="0"/>
        <w:spacing w:line="360" w:lineRule="auto"/>
        <w:ind w:firstLine="630" w:firstLineChars="300"/>
        <w:rPr>
          <w:color w:val="auto"/>
          <w:szCs w:val="21"/>
          <w:highlight w:val="none"/>
          <w:lang w:val="nb-NO"/>
        </w:rPr>
      </w:pPr>
      <w:r>
        <w:rPr>
          <w:rFonts w:hint="eastAsia"/>
          <w:color w:val="auto"/>
          <w:position w:val="-12"/>
          <w:szCs w:val="21"/>
          <w:highlight w:val="none"/>
        </w:rPr>
        <w:object>
          <v:shape id="_x0000_i1051" o:spt="75" type="#_x0000_t75" style="height:19.05pt;width:13.25pt;" o:ole="t" filled="f" o:preferrelative="t" stroked="f" coordsize="21600,21600">
            <v:path/>
            <v:fill on="f" focussize="0,0"/>
            <v:stroke on="f" joinstyle="miter"/>
            <v:imagedata r:id="rId71" o:title=""/>
            <o:lock v:ext="edit" aspectratio="t"/>
            <w10:wrap type="none"/>
            <w10:anchorlock/>
          </v:shape>
          <o:OLEObject Type="Embed" ProgID="Equation.DSMT4" ShapeID="_x0000_i1051" DrawAspect="Content" ObjectID="_1468075751" r:id="rId70">
            <o:LockedField>false</o:LockedField>
          </o:OLEObject>
        </w:object>
      </w:r>
      <w:r>
        <w:rPr>
          <w:color w:val="auto"/>
          <w:szCs w:val="21"/>
          <w:highlight w:val="none"/>
          <w:lang w:val="nb-NO"/>
        </w:rPr>
        <w:t>——</w:t>
      </w:r>
      <w:r>
        <w:rPr>
          <w:color w:val="auto"/>
          <w:position w:val="-12"/>
          <w:szCs w:val="21"/>
          <w:highlight w:val="none"/>
          <w:lang w:val="nb-NO"/>
        </w:rPr>
        <w:object>
          <v:shape id="_x0000_i1052" o:spt="75" type="#_x0000_t75" style="height:19.05pt;width:14.4pt;" o:ole="t" filled="f" o:preferrelative="t" stroked="f" coordsize="21600,21600">
            <v:path/>
            <v:fill on="f" focussize="0,0"/>
            <v:stroke on="f" joinstyle="miter"/>
            <v:imagedata r:id="rId73" o:title=""/>
            <o:lock v:ext="edit" aspectratio="t"/>
            <w10:wrap type="none"/>
            <w10:anchorlock/>
          </v:shape>
          <o:OLEObject Type="Embed" ProgID="Equation.DSMT4" ShapeID="_x0000_i1052" DrawAspect="Content" ObjectID="_1468075752" r:id="rId72">
            <o:LockedField>false</o:LockedField>
          </o:OLEObject>
        </w:object>
      </w:r>
      <w:r>
        <w:rPr>
          <w:color w:val="auto"/>
          <w:szCs w:val="21"/>
          <w:highlight w:val="none"/>
          <w:lang w:val="nb-NO"/>
        </w:rPr>
        <w:t>时试件两侧</w:t>
      </w:r>
      <w:r>
        <w:rPr>
          <w:rFonts w:hint="eastAsia"/>
          <w:color w:val="auto"/>
          <w:szCs w:val="21"/>
          <w:highlight w:val="none"/>
          <w:lang w:val="nb-NO"/>
        </w:rPr>
        <w:t>竖向应变</w:t>
      </w:r>
      <w:r>
        <w:rPr>
          <w:color w:val="auto"/>
          <w:szCs w:val="21"/>
          <w:highlight w:val="none"/>
          <w:lang w:val="nb-NO"/>
        </w:rPr>
        <w:t>的平均值</w:t>
      </w:r>
      <w:r>
        <w:rPr>
          <w:rFonts w:hint="eastAsia"/>
          <w:color w:val="auto"/>
          <w:szCs w:val="21"/>
          <w:highlight w:val="none"/>
          <w:lang w:val="nb-NO"/>
        </w:rPr>
        <w:t>（10</w:t>
      </w:r>
      <w:r>
        <w:rPr>
          <w:color w:val="auto"/>
          <w:szCs w:val="21"/>
          <w:highlight w:val="none"/>
          <w:vertAlign w:val="superscript"/>
          <w:lang w:val="nb-NO"/>
        </w:rPr>
        <w:t>-6</w:t>
      </w:r>
      <w:r>
        <w:rPr>
          <w:rFonts w:hint="eastAsia"/>
          <w:color w:val="auto"/>
          <w:szCs w:val="21"/>
          <w:highlight w:val="none"/>
          <w:lang w:val="nb-NO"/>
        </w:rPr>
        <w:t>）；</w:t>
      </w:r>
    </w:p>
    <w:p w14:paraId="2EFBAE44">
      <w:pPr>
        <w:kinsoku/>
        <w:overflowPunct/>
        <w:bidi w:val="0"/>
        <w:spacing w:line="360" w:lineRule="auto"/>
        <w:ind w:firstLine="644" w:firstLineChars="307"/>
        <w:rPr>
          <w:color w:val="auto"/>
          <w:szCs w:val="21"/>
          <w:highlight w:val="none"/>
          <w:lang w:val="nb-NO"/>
        </w:rPr>
      </w:pPr>
      <w:r>
        <w:rPr>
          <w:rFonts w:hint="eastAsia"/>
          <w:color w:val="auto"/>
          <w:position w:val="-12"/>
          <w:szCs w:val="21"/>
          <w:highlight w:val="none"/>
        </w:rPr>
        <w:object>
          <v:shape id="_x0000_i1053" o:spt="75" type="#_x0000_t75" style="height:19.05pt;width:11.3pt;" o:ole="t" filled="f" o:preferrelative="t" stroked="f" coordsize="21600,21600">
            <v:path/>
            <v:fill on="f" focussize="0,0"/>
            <v:stroke on="f" joinstyle="miter"/>
            <v:imagedata r:id="rId75" o:title=""/>
            <o:lock v:ext="edit" aspectratio="t"/>
            <w10:wrap type="none"/>
            <w10:anchorlock/>
          </v:shape>
          <o:OLEObject Type="Embed" ProgID="Equation.3" ShapeID="_x0000_i1053" DrawAspect="Content" ObjectID="_1468075753" r:id="rId74">
            <o:LockedField>false</o:LockedField>
          </o:OLEObject>
        </w:object>
      </w:r>
      <w:r>
        <w:rPr>
          <w:color w:val="auto"/>
          <w:szCs w:val="21"/>
          <w:highlight w:val="none"/>
          <w:lang w:val="nb-NO"/>
        </w:rPr>
        <w:t>——</w:t>
      </w:r>
      <w:r>
        <w:rPr>
          <w:color w:val="auto"/>
          <w:position w:val="-12"/>
          <w:szCs w:val="21"/>
          <w:highlight w:val="none"/>
          <w:lang w:val="nb-NO"/>
        </w:rPr>
        <w:object>
          <v:shape id="_x0000_i1054" o:spt="75" type="#_x0000_t75" style="height:19.05pt;width:14.4pt;" o:ole="t" filled="f" o:preferrelative="t" stroked="f" coordsize="21600,21600">
            <v:path/>
            <v:fill on="f" focussize="0,0"/>
            <v:stroke on="f" joinstyle="miter"/>
            <v:imagedata r:id="rId77" o:title=""/>
            <o:lock v:ext="edit" aspectratio="t"/>
            <w10:wrap type="none"/>
            <w10:anchorlock/>
          </v:shape>
          <o:OLEObject Type="Embed" ProgID="Equation.3" ShapeID="_x0000_i1054" DrawAspect="Content" ObjectID="_1468075754" r:id="rId76">
            <o:LockedField>false</o:LockedField>
          </o:OLEObject>
        </w:object>
      </w:r>
      <w:r>
        <w:rPr>
          <w:color w:val="auto"/>
          <w:szCs w:val="21"/>
          <w:highlight w:val="none"/>
          <w:lang w:val="nb-NO"/>
        </w:rPr>
        <w:t>时试件两侧</w:t>
      </w:r>
      <w:r>
        <w:rPr>
          <w:rFonts w:hint="eastAsia"/>
          <w:color w:val="auto"/>
          <w:szCs w:val="21"/>
          <w:highlight w:val="none"/>
          <w:lang w:val="nb-NO"/>
        </w:rPr>
        <w:t>竖向应变</w:t>
      </w:r>
      <w:r>
        <w:rPr>
          <w:color w:val="auto"/>
          <w:szCs w:val="21"/>
          <w:highlight w:val="none"/>
          <w:lang w:val="nb-NO"/>
        </w:rPr>
        <w:t>的平均值</w:t>
      </w:r>
      <w:r>
        <w:rPr>
          <w:rFonts w:hint="eastAsia"/>
          <w:color w:val="auto"/>
          <w:szCs w:val="21"/>
          <w:highlight w:val="none"/>
          <w:lang w:val="nb-NO"/>
        </w:rPr>
        <w:t>（10</w:t>
      </w:r>
      <w:r>
        <w:rPr>
          <w:color w:val="auto"/>
          <w:szCs w:val="21"/>
          <w:highlight w:val="none"/>
          <w:vertAlign w:val="superscript"/>
          <w:lang w:val="nb-NO"/>
        </w:rPr>
        <w:t>-6</w:t>
      </w:r>
      <w:r>
        <w:rPr>
          <w:rFonts w:hint="eastAsia"/>
          <w:color w:val="auto"/>
          <w:szCs w:val="21"/>
          <w:highlight w:val="none"/>
          <w:lang w:val="nb-NO"/>
        </w:rPr>
        <w:t>）；</w:t>
      </w:r>
    </w:p>
    <w:p w14:paraId="08592978">
      <w:pPr>
        <w:kinsoku/>
        <w:overflowPunct/>
        <w:bidi w:val="0"/>
        <w:spacing w:line="360" w:lineRule="auto"/>
        <w:ind w:firstLine="1274" w:firstLineChars="607"/>
        <w:rPr>
          <w:color w:val="auto"/>
          <w:szCs w:val="21"/>
          <w:highlight w:val="none"/>
          <w:lang w:val="nb-NO"/>
        </w:rPr>
      </w:pPr>
      <w:r>
        <w:rPr>
          <w:rFonts w:hint="eastAsia"/>
          <w:color w:val="auto"/>
          <w:szCs w:val="21"/>
          <w:highlight w:val="none"/>
          <w:lang w:val="nb-NO"/>
        </w:rPr>
        <w:t>当变形测试结果单位为mm时，应通过标距换算为应变（10</w:t>
      </w:r>
      <w:r>
        <w:rPr>
          <w:color w:val="auto"/>
          <w:szCs w:val="21"/>
          <w:highlight w:val="none"/>
          <w:vertAlign w:val="superscript"/>
          <w:lang w:val="nb-NO"/>
        </w:rPr>
        <w:t>-6</w:t>
      </w:r>
      <w:r>
        <w:rPr>
          <w:rFonts w:hint="eastAsia"/>
          <w:color w:val="auto"/>
          <w:szCs w:val="21"/>
          <w:highlight w:val="none"/>
          <w:lang w:val="nb-NO"/>
        </w:rPr>
        <w:t>）；</w:t>
      </w:r>
    </w:p>
    <w:p w14:paraId="5F988E00">
      <w:pPr>
        <w:kinsoku/>
        <w:overflowPunct/>
        <w:bidi w:val="0"/>
        <w:spacing w:before="156" w:beforeLines="50" w:line="360" w:lineRule="auto"/>
        <w:ind w:firstLine="315" w:firstLineChars="150"/>
        <w:rPr>
          <w:color w:val="auto"/>
          <w:szCs w:val="21"/>
          <w:highlight w:val="none"/>
          <w:lang w:val="nb-NO"/>
        </w:rPr>
      </w:pPr>
      <w:r>
        <w:rPr>
          <w:bCs/>
          <w:color w:val="auto"/>
          <w:szCs w:val="21"/>
          <w:highlight w:val="none"/>
          <w:lang w:val="nb-NO"/>
        </w:rPr>
        <w:t>2</w:t>
      </w:r>
      <w:r>
        <w:rPr>
          <w:rFonts w:hint="eastAsia"/>
          <w:bCs/>
          <w:color w:val="auto"/>
          <w:szCs w:val="21"/>
          <w:highlight w:val="none"/>
          <w:lang w:val="nb-NO"/>
        </w:rPr>
        <w:t xml:space="preserve"> 应</w:t>
      </w:r>
      <w:r>
        <w:rPr>
          <w:color w:val="auto"/>
          <w:szCs w:val="21"/>
          <w:highlight w:val="none"/>
          <w:lang w:val="nb-NO"/>
        </w:rPr>
        <w:t>按3个试件测值的算术平均值</w:t>
      </w:r>
      <w:r>
        <w:rPr>
          <w:rFonts w:hint="eastAsia"/>
          <w:color w:val="auto"/>
          <w:szCs w:val="21"/>
          <w:highlight w:val="none"/>
          <w:lang w:val="nb-NO"/>
        </w:rPr>
        <w:t>作为该组试件的泊松比值，应精确至0.01</w:t>
      </w:r>
      <w:r>
        <w:rPr>
          <w:color w:val="auto"/>
          <w:szCs w:val="21"/>
          <w:highlight w:val="none"/>
          <w:lang w:val="nb-NO"/>
        </w:rPr>
        <w:t>。如果其中有一个试件</w:t>
      </w:r>
      <w:r>
        <w:rPr>
          <w:rFonts w:hint="eastAsia"/>
          <w:color w:val="auto"/>
          <w:szCs w:val="21"/>
          <w:highlight w:val="none"/>
          <w:lang w:val="nb-NO"/>
        </w:rPr>
        <w:t>在测定泊松比后的</w:t>
      </w:r>
      <w:r>
        <w:rPr>
          <w:color w:val="auto"/>
          <w:szCs w:val="21"/>
          <w:highlight w:val="none"/>
          <w:lang w:val="nb-NO"/>
        </w:rPr>
        <w:t>轴心抗压强度值与用以确定检验控制荷载的轴心抗压强度值相差超过后者的</w:t>
      </w:r>
      <w:r>
        <w:rPr>
          <w:rFonts w:hint="eastAsia"/>
          <w:color w:val="auto"/>
          <w:szCs w:val="21"/>
          <w:highlight w:val="none"/>
        </w:rPr>
        <w:t>20</w:t>
      </w:r>
      <w:r>
        <w:rPr>
          <w:color w:val="auto"/>
          <w:szCs w:val="21"/>
          <w:highlight w:val="none"/>
          <w:lang w:val="nb-NO"/>
        </w:rPr>
        <w:t>%时，则</w:t>
      </w:r>
      <w:r>
        <w:rPr>
          <w:rFonts w:hint="eastAsia"/>
          <w:color w:val="auto"/>
          <w:szCs w:val="21"/>
          <w:highlight w:val="none"/>
          <w:lang w:val="nb-NO"/>
        </w:rPr>
        <w:t>泊松比</w:t>
      </w:r>
      <w:r>
        <w:rPr>
          <w:color w:val="auto"/>
          <w:szCs w:val="21"/>
          <w:highlight w:val="none"/>
          <w:lang w:val="nb-NO"/>
        </w:rPr>
        <w:t>值</w:t>
      </w:r>
      <w:r>
        <w:rPr>
          <w:rFonts w:hint="eastAsia"/>
          <w:color w:val="auto"/>
          <w:szCs w:val="21"/>
          <w:highlight w:val="none"/>
          <w:lang w:val="nb-NO"/>
        </w:rPr>
        <w:t>应</w:t>
      </w:r>
      <w:r>
        <w:rPr>
          <w:color w:val="auto"/>
          <w:szCs w:val="21"/>
          <w:highlight w:val="none"/>
          <w:lang w:val="nb-NO"/>
        </w:rPr>
        <w:t>按另两个试件测值的算术平均值计算</w:t>
      </w:r>
      <w:r>
        <w:rPr>
          <w:rFonts w:hint="eastAsia"/>
          <w:color w:val="auto"/>
          <w:szCs w:val="21"/>
          <w:highlight w:val="none"/>
          <w:lang w:val="nb-NO"/>
        </w:rPr>
        <w:t>；</w:t>
      </w:r>
      <w:r>
        <w:rPr>
          <w:color w:val="auto"/>
          <w:szCs w:val="21"/>
          <w:highlight w:val="none"/>
          <w:lang w:val="nb-NO"/>
        </w:rPr>
        <w:t>如有两个试件超过上述规定时，则此次试验无效。</w:t>
      </w:r>
    </w:p>
    <w:p w14:paraId="415FACD7">
      <w:pPr>
        <w:kinsoku/>
        <w:overflowPunct/>
        <w:bidi w:val="0"/>
        <w:spacing w:before="156" w:beforeLines="50" w:line="360" w:lineRule="auto"/>
        <w:ind w:firstLine="315" w:firstLineChars="150"/>
        <w:rPr>
          <w:color w:val="auto"/>
          <w:szCs w:val="21"/>
          <w:highlight w:val="none"/>
          <w:lang w:val="nb-NO"/>
        </w:rPr>
      </w:pPr>
    </w:p>
    <w:p w14:paraId="1E1F74D7">
      <w:pPr>
        <w:pStyle w:val="65"/>
        <w:kinsoku/>
        <w:overflowPunct/>
        <w:bidi w:val="0"/>
        <w:spacing w:before="156" w:beforeLines="50" w:after="156" w:afterLines="50" w:line="360" w:lineRule="auto"/>
        <w:outlineLvl w:val="1"/>
        <w:rPr>
          <w:color w:val="auto"/>
          <w:highlight w:val="none"/>
        </w:rPr>
      </w:pPr>
      <w:bookmarkStart w:id="35" w:name="_Toc11720"/>
      <w:r>
        <w:rPr>
          <w:rFonts w:hint="eastAsia"/>
          <w:color w:val="auto"/>
          <w:highlight w:val="none"/>
        </w:rPr>
        <w:t xml:space="preserve">6.5 </w:t>
      </w:r>
      <w:r>
        <w:rPr>
          <w:color w:val="auto"/>
          <w:highlight w:val="none"/>
        </w:rPr>
        <w:t>抗折强度</w:t>
      </w:r>
      <w:r>
        <w:rPr>
          <w:rFonts w:hint="eastAsia"/>
          <w:color w:val="auto"/>
          <w:highlight w:val="none"/>
        </w:rPr>
        <w:t>与</w:t>
      </w:r>
      <w:r>
        <w:rPr>
          <w:color w:val="auto"/>
          <w:highlight w:val="none"/>
        </w:rPr>
        <w:t>弯曲韧性</w:t>
      </w:r>
      <w:r>
        <w:rPr>
          <w:rFonts w:hint="eastAsia"/>
          <w:color w:val="auto"/>
          <w:highlight w:val="none"/>
        </w:rPr>
        <w:t>试验</w:t>
      </w:r>
      <w:bookmarkEnd w:id="35"/>
    </w:p>
    <w:p w14:paraId="01662142">
      <w:pPr>
        <w:kinsoku/>
        <w:overflowPunct/>
        <w:bidi w:val="0"/>
        <w:spacing w:before="156" w:beforeLines="50" w:line="360" w:lineRule="auto"/>
        <w:rPr>
          <w:color w:val="auto"/>
          <w:szCs w:val="21"/>
          <w:highlight w:val="none"/>
          <w:lang w:val="nb-NO"/>
        </w:rPr>
      </w:pPr>
      <w:r>
        <w:rPr>
          <w:color w:val="auto"/>
          <w:highlight w:val="none"/>
        </w:rPr>
        <w:t>6.5.1</w:t>
      </w:r>
      <w:r>
        <w:rPr>
          <w:color w:val="auto"/>
          <w:szCs w:val="21"/>
          <w:highlight w:val="none"/>
        </w:rPr>
        <w:t xml:space="preserve"> </w:t>
      </w:r>
      <w:r>
        <w:rPr>
          <w:rFonts w:hint="eastAsia"/>
          <w:color w:val="auto"/>
          <w:szCs w:val="21"/>
          <w:highlight w:val="none"/>
        </w:rPr>
        <w:t>测定超高性能</w:t>
      </w:r>
      <w:r>
        <w:rPr>
          <w:rFonts w:hint="eastAsia"/>
          <w:color w:val="auto"/>
          <w:szCs w:val="21"/>
          <w:highlight w:val="none"/>
          <w:lang w:val="nb-NO"/>
        </w:rPr>
        <w:t>混凝土抗折强度</w:t>
      </w:r>
      <w:r>
        <w:rPr>
          <w:rFonts w:hint="eastAsia"/>
          <w:color w:val="auto"/>
          <w:highlight w:val="none"/>
        </w:rPr>
        <w:t>及弯曲韧性</w:t>
      </w:r>
      <w:r>
        <w:rPr>
          <w:rFonts w:hint="eastAsia"/>
          <w:color w:val="auto"/>
          <w:szCs w:val="21"/>
          <w:highlight w:val="none"/>
          <w:lang w:val="nb-NO"/>
        </w:rPr>
        <w:t>试验的试件尺寸、数量及表面质量应符合下列规定：</w:t>
      </w:r>
    </w:p>
    <w:p w14:paraId="4616835E">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1</w:t>
      </w:r>
      <w:r>
        <w:rPr>
          <w:rFonts w:hint="eastAsia"/>
          <w:color w:val="auto"/>
          <w:szCs w:val="21"/>
          <w:highlight w:val="none"/>
          <w:lang w:val="nb-NO"/>
        </w:rPr>
        <w:t>标准试件应是边长为</w:t>
      </w:r>
      <w:r>
        <w:rPr>
          <w:color w:val="auto"/>
          <w:szCs w:val="21"/>
          <w:highlight w:val="none"/>
          <w:lang w:val="nb-NO"/>
        </w:rPr>
        <w:t>100mm×100mm×400mm</w:t>
      </w:r>
      <w:r>
        <w:rPr>
          <w:rFonts w:hint="eastAsia"/>
          <w:color w:val="auto"/>
          <w:szCs w:val="21"/>
          <w:highlight w:val="none"/>
          <w:lang w:val="nb-NO"/>
        </w:rPr>
        <w:t>的棱柱体试件；</w:t>
      </w:r>
    </w:p>
    <w:p w14:paraId="58FE7C58">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2</w:t>
      </w:r>
      <w:r>
        <w:rPr>
          <w:rFonts w:hint="eastAsia"/>
          <w:color w:val="auto"/>
          <w:szCs w:val="21"/>
          <w:highlight w:val="none"/>
          <w:lang w:val="nb-NO"/>
        </w:rPr>
        <w:t>在</w:t>
      </w:r>
      <w:r>
        <w:rPr>
          <w:rFonts w:hint="eastAsia"/>
          <w:color w:val="auto"/>
          <w:szCs w:val="21"/>
          <w:highlight w:val="none"/>
        </w:rPr>
        <w:t>试件</w:t>
      </w:r>
      <w:r>
        <w:rPr>
          <w:rFonts w:hint="eastAsia"/>
          <w:color w:val="auto"/>
          <w:szCs w:val="21"/>
          <w:highlight w:val="none"/>
          <w:lang w:val="nb-NO"/>
        </w:rPr>
        <w:t>长向中部</w:t>
      </w:r>
      <w:r>
        <w:rPr>
          <w:color w:val="auto"/>
          <w:szCs w:val="21"/>
          <w:highlight w:val="none"/>
          <w:lang w:val="nb-NO"/>
        </w:rPr>
        <w:t>1/3</w:t>
      </w:r>
      <w:r>
        <w:rPr>
          <w:rFonts w:hint="eastAsia"/>
          <w:color w:val="auto"/>
          <w:szCs w:val="21"/>
          <w:highlight w:val="none"/>
          <w:lang w:val="nb-NO"/>
        </w:rPr>
        <w:t>区段内表面不得有直径超过</w:t>
      </w:r>
      <w:r>
        <w:rPr>
          <w:color w:val="auto"/>
          <w:szCs w:val="21"/>
          <w:highlight w:val="none"/>
          <w:lang w:val="nb-NO"/>
        </w:rPr>
        <w:t>5mm</w:t>
      </w:r>
      <w:r>
        <w:rPr>
          <w:rFonts w:hint="eastAsia"/>
          <w:color w:val="auto"/>
          <w:szCs w:val="21"/>
          <w:highlight w:val="none"/>
          <w:lang w:val="nb-NO"/>
        </w:rPr>
        <w:t>、深度超过</w:t>
      </w:r>
      <w:r>
        <w:rPr>
          <w:color w:val="auto"/>
          <w:szCs w:val="21"/>
          <w:highlight w:val="none"/>
          <w:lang w:val="nb-NO"/>
        </w:rPr>
        <w:t>2mm</w:t>
      </w:r>
      <w:r>
        <w:rPr>
          <w:rFonts w:hint="eastAsia"/>
          <w:color w:val="auto"/>
          <w:szCs w:val="21"/>
          <w:highlight w:val="none"/>
          <w:lang w:val="nb-NO"/>
        </w:rPr>
        <w:t>的孔洞；</w:t>
      </w:r>
    </w:p>
    <w:p w14:paraId="35F51FD9">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3</w:t>
      </w:r>
      <w:r>
        <w:rPr>
          <w:rFonts w:hint="eastAsia"/>
          <w:color w:val="auto"/>
          <w:szCs w:val="21"/>
          <w:highlight w:val="none"/>
        </w:rPr>
        <w:t>每组试件应为</w:t>
      </w:r>
      <w:r>
        <w:rPr>
          <w:color w:val="auto"/>
          <w:szCs w:val="21"/>
          <w:highlight w:val="none"/>
        </w:rPr>
        <w:t>3</w:t>
      </w:r>
      <w:r>
        <w:rPr>
          <w:rFonts w:hint="eastAsia"/>
          <w:color w:val="auto"/>
          <w:szCs w:val="21"/>
          <w:highlight w:val="none"/>
        </w:rPr>
        <w:t>块</w:t>
      </w:r>
      <w:r>
        <w:rPr>
          <w:rFonts w:hint="eastAsia"/>
          <w:color w:val="auto"/>
          <w:szCs w:val="21"/>
          <w:highlight w:val="none"/>
          <w:lang w:val="nb-NO"/>
        </w:rPr>
        <w:t>。</w:t>
      </w:r>
    </w:p>
    <w:p w14:paraId="11F16A31">
      <w:pPr>
        <w:kinsoku/>
        <w:overflowPunct/>
        <w:bidi w:val="0"/>
        <w:spacing w:before="156" w:beforeLines="50" w:line="360" w:lineRule="auto"/>
        <w:rPr>
          <w:color w:val="auto"/>
          <w:highlight w:val="none"/>
        </w:rPr>
      </w:pPr>
      <w:r>
        <w:rPr>
          <w:rFonts w:hint="eastAsia"/>
          <w:color w:val="auto"/>
          <w:highlight w:val="none"/>
        </w:rPr>
        <w:t>6.5</w:t>
      </w:r>
      <w:r>
        <w:rPr>
          <w:color w:val="auto"/>
          <w:highlight w:val="none"/>
        </w:rPr>
        <w:t>.</w:t>
      </w:r>
      <w:r>
        <w:rPr>
          <w:rFonts w:hint="eastAsia"/>
          <w:color w:val="auto"/>
          <w:highlight w:val="none"/>
        </w:rPr>
        <w:t>2</w:t>
      </w:r>
      <w:r>
        <w:rPr>
          <w:color w:val="auto"/>
          <w:highlight w:val="none"/>
        </w:rPr>
        <w:t xml:space="preserve"> 试验</w:t>
      </w:r>
      <w:r>
        <w:rPr>
          <w:rFonts w:hint="eastAsia"/>
          <w:color w:val="auto"/>
          <w:highlight w:val="none"/>
        </w:rPr>
        <w:t>采用的</w:t>
      </w:r>
      <w:r>
        <w:rPr>
          <w:color w:val="auto"/>
          <w:highlight w:val="none"/>
        </w:rPr>
        <w:t>设备应符合下列规定</w:t>
      </w:r>
      <w:r>
        <w:rPr>
          <w:rFonts w:hint="eastAsia"/>
          <w:color w:val="auto"/>
          <w:highlight w:val="none"/>
        </w:rPr>
        <w:t>：</w:t>
      </w:r>
    </w:p>
    <w:p w14:paraId="0DB21425">
      <w:pPr>
        <w:kinsoku/>
        <w:overflowPunct/>
        <w:bidi w:val="0"/>
        <w:spacing w:before="156" w:beforeLines="50" w:line="360" w:lineRule="auto"/>
        <w:ind w:firstLine="315" w:firstLineChars="150"/>
        <w:rPr>
          <w:color w:val="auto"/>
          <w:kern w:val="0"/>
          <w:szCs w:val="20"/>
          <w:highlight w:val="none"/>
        </w:rPr>
      </w:pPr>
      <w:r>
        <w:rPr>
          <w:color w:val="auto"/>
          <w:kern w:val="0"/>
          <w:szCs w:val="20"/>
          <w:highlight w:val="none"/>
        </w:rPr>
        <w:t xml:space="preserve">1 </w:t>
      </w:r>
      <w:r>
        <w:rPr>
          <w:rFonts w:hint="eastAsia"/>
          <w:color w:val="auto"/>
          <w:kern w:val="0"/>
          <w:szCs w:val="20"/>
          <w:highlight w:val="none"/>
        </w:rPr>
        <w:t>压力试验机应符合本标准第</w:t>
      </w:r>
      <w:r>
        <w:rPr>
          <w:color w:val="auto"/>
          <w:kern w:val="0"/>
          <w:szCs w:val="20"/>
          <w:highlight w:val="none"/>
        </w:rPr>
        <w:t>6.1.3</w:t>
      </w:r>
      <w:r>
        <w:rPr>
          <w:rFonts w:hint="eastAsia"/>
          <w:color w:val="auto"/>
          <w:kern w:val="0"/>
          <w:szCs w:val="20"/>
          <w:highlight w:val="none"/>
        </w:rPr>
        <w:t>条中第</w:t>
      </w:r>
      <w:r>
        <w:rPr>
          <w:color w:val="auto"/>
          <w:kern w:val="0"/>
          <w:szCs w:val="20"/>
          <w:highlight w:val="none"/>
        </w:rPr>
        <w:t>1</w:t>
      </w:r>
      <w:r>
        <w:rPr>
          <w:rFonts w:hint="eastAsia"/>
          <w:color w:val="auto"/>
          <w:kern w:val="0"/>
          <w:szCs w:val="20"/>
          <w:highlight w:val="none"/>
        </w:rPr>
        <w:t>款的规定，试验机应能施加均匀、连续、速度可控的荷载。</w:t>
      </w:r>
    </w:p>
    <w:p w14:paraId="524DA359">
      <w:pPr>
        <w:kinsoku/>
        <w:overflowPunct/>
        <w:bidi w:val="0"/>
        <w:spacing w:before="156" w:beforeLines="50" w:line="360" w:lineRule="auto"/>
        <w:ind w:firstLine="315" w:firstLineChars="150"/>
        <w:rPr>
          <w:color w:val="auto"/>
          <w:szCs w:val="21"/>
          <w:highlight w:val="none"/>
        </w:rPr>
      </w:pPr>
      <w:r>
        <w:rPr>
          <w:color w:val="auto"/>
          <w:szCs w:val="21"/>
          <w:highlight w:val="none"/>
          <w:lang w:val="nb-NO"/>
        </w:rPr>
        <w:t xml:space="preserve">2 </w:t>
      </w:r>
      <w:r>
        <w:rPr>
          <w:rFonts w:hint="eastAsia"/>
          <w:color w:val="auto"/>
          <w:szCs w:val="21"/>
          <w:highlight w:val="none"/>
        </w:rPr>
        <w:t>抗折试验装置如图</w:t>
      </w:r>
      <w:r>
        <w:rPr>
          <w:rFonts w:hint="eastAsia"/>
          <w:color w:val="auto"/>
          <w:szCs w:val="21"/>
          <w:highlight w:val="none"/>
          <w:lang w:eastAsia="zh"/>
          <w:woUserID w:val="3"/>
        </w:rPr>
        <w:t>6.5.2-1</w:t>
      </w:r>
      <w:r>
        <w:rPr>
          <w:rFonts w:hint="eastAsia"/>
          <w:color w:val="auto"/>
          <w:szCs w:val="21"/>
          <w:highlight w:val="none"/>
        </w:rPr>
        <w:t>所示，其应符合下列规定：</w:t>
      </w:r>
    </w:p>
    <w:p w14:paraId="040DF103">
      <w:pPr>
        <w:kinsoku/>
        <w:overflowPunct/>
        <w:bidi w:val="0"/>
        <w:spacing w:before="156" w:beforeLines="50" w:line="360" w:lineRule="auto"/>
        <w:ind w:firstLine="525" w:firstLineChars="250"/>
        <w:rPr>
          <w:color w:val="auto"/>
          <w:szCs w:val="21"/>
          <w:highlight w:val="none"/>
        </w:rPr>
      </w:pPr>
      <w:r>
        <w:rPr>
          <w:color w:val="auto"/>
          <w:szCs w:val="21"/>
          <w:highlight w:val="none"/>
        </w:rPr>
        <w:t>1</w:t>
      </w:r>
      <w:r>
        <w:rPr>
          <w:rFonts w:hint="eastAsia"/>
          <w:color w:val="auto"/>
          <w:szCs w:val="21"/>
          <w:highlight w:val="none"/>
        </w:rPr>
        <w:t>）双点加荷的钢制加荷头应使两个相等的荷载同时垂直作用在试件跨度的两个三分点处；</w:t>
      </w:r>
    </w:p>
    <w:p w14:paraId="163E6491">
      <w:pPr>
        <w:kinsoku/>
        <w:overflowPunct/>
        <w:bidi w:val="0"/>
        <w:spacing w:before="156" w:beforeLines="50" w:line="360" w:lineRule="auto"/>
        <w:ind w:firstLine="525" w:firstLineChars="250"/>
        <w:rPr>
          <w:color w:val="auto"/>
          <w:szCs w:val="21"/>
          <w:highlight w:val="none"/>
        </w:rPr>
      </w:pPr>
      <w:r>
        <w:rPr>
          <w:color w:val="auto"/>
          <w:szCs w:val="21"/>
          <w:highlight w:val="none"/>
        </w:rPr>
        <w:t>2</w:t>
      </w:r>
      <w:r>
        <w:rPr>
          <w:rFonts w:hint="eastAsia"/>
          <w:color w:val="auto"/>
          <w:szCs w:val="21"/>
          <w:highlight w:val="none"/>
        </w:rPr>
        <w:t>）与试件接触的两个支座头和两个加荷头应采用直径为</w:t>
      </w:r>
      <w:r>
        <w:rPr>
          <w:color w:val="auto"/>
          <w:szCs w:val="21"/>
          <w:highlight w:val="none"/>
        </w:rPr>
        <w:t>20mm~40mm</w:t>
      </w:r>
      <w:r>
        <w:rPr>
          <w:rFonts w:hint="eastAsia"/>
          <w:color w:val="auto"/>
          <w:szCs w:val="21"/>
          <w:highlight w:val="none"/>
        </w:rPr>
        <w:t>、长度不小于</w:t>
      </w:r>
      <w:r>
        <w:rPr>
          <w:color w:val="auto"/>
          <w:szCs w:val="21"/>
          <w:highlight w:val="none"/>
        </w:rPr>
        <w:t>b+10mm</w:t>
      </w:r>
      <w:r>
        <w:rPr>
          <w:rFonts w:hint="eastAsia"/>
          <w:color w:val="auto"/>
          <w:szCs w:val="21"/>
          <w:highlight w:val="none"/>
        </w:rPr>
        <w:t>的硬钢圆柱，支座立脚点固定铰支，其他</w:t>
      </w:r>
      <w:r>
        <w:rPr>
          <w:color w:val="auto"/>
          <w:szCs w:val="21"/>
          <w:highlight w:val="none"/>
        </w:rPr>
        <w:t>3</w:t>
      </w:r>
      <w:r>
        <w:rPr>
          <w:rFonts w:hint="eastAsia"/>
          <w:color w:val="auto"/>
          <w:szCs w:val="21"/>
          <w:highlight w:val="none"/>
        </w:rPr>
        <w:t>个应为滚动支点。</w:t>
      </w:r>
    </w:p>
    <w:p w14:paraId="420E68B1">
      <w:pPr>
        <w:kinsoku/>
        <w:overflowPunct/>
        <w:bidi w:val="0"/>
        <w:spacing w:before="156" w:beforeLines="50" w:line="360" w:lineRule="auto"/>
        <w:jc w:val="center"/>
        <w:rPr>
          <w:color w:val="auto"/>
          <w:szCs w:val="21"/>
          <w:highlight w:val="none"/>
          <w:lang w:val="nb-NO"/>
        </w:rPr>
      </w:pPr>
      <w:r>
        <w:rPr>
          <w:color w:val="auto"/>
          <w:highlight w:val="none"/>
        </w:rPr>
        <w:drawing>
          <wp:inline distT="0" distB="0" distL="114300" distR="114300">
            <wp:extent cx="2991485" cy="2138045"/>
            <wp:effectExtent l="0" t="0" r="5715" b="8255"/>
            <wp:docPr id="7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2"/>
                    <pic:cNvPicPr>
                      <a:picLocks noChangeAspect="1"/>
                    </pic:cNvPicPr>
                  </pic:nvPicPr>
                  <pic:blipFill>
                    <a:blip r:embed="rId78"/>
                    <a:stretch>
                      <a:fillRect/>
                    </a:stretch>
                  </pic:blipFill>
                  <pic:spPr>
                    <a:xfrm>
                      <a:off x="0" y="0"/>
                      <a:ext cx="2991485" cy="2138045"/>
                    </a:xfrm>
                    <a:prstGeom prst="rect">
                      <a:avLst/>
                    </a:prstGeom>
                    <a:noFill/>
                    <a:ln w="9525">
                      <a:noFill/>
                    </a:ln>
                  </pic:spPr>
                </pic:pic>
              </a:graphicData>
            </a:graphic>
          </wp:inline>
        </w:drawing>
      </w:r>
    </w:p>
    <w:p w14:paraId="3DD31D80">
      <w:pPr>
        <w:kinsoku/>
        <w:overflowPunct/>
        <w:bidi w:val="0"/>
        <w:spacing w:before="156" w:beforeLines="50" w:line="360" w:lineRule="auto"/>
        <w:jc w:val="center"/>
        <w:rPr>
          <w:color w:val="auto"/>
          <w:szCs w:val="21"/>
          <w:highlight w:val="none"/>
          <w:lang w:val="nb-NO"/>
        </w:rPr>
      </w:pPr>
      <w:r>
        <w:rPr>
          <w:rFonts w:hint="eastAsia"/>
          <w:color w:val="auto"/>
          <w:szCs w:val="21"/>
          <w:highlight w:val="none"/>
          <w:lang w:val="nb-NO"/>
        </w:rPr>
        <w:t>图</w:t>
      </w:r>
      <w:r>
        <w:rPr>
          <w:color w:val="auto"/>
          <w:szCs w:val="21"/>
          <w:highlight w:val="none"/>
          <w:lang w:val="nb-NO"/>
        </w:rPr>
        <w:t>6.5.</w:t>
      </w:r>
      <w:r>
        <w:rPr>
          <w:rFonts w:hint="eastAsia"/>
          <w:color w:val="auto"/>
          <w:szCs w:val="21"/>
          <w:highlight w:val="none"/>
          <w:lang w:val="nb-NO"/>
        </w:rPr>
        <w:t>2</w:t>
      </w:r>
      <w:r>
        <w:rPr>
          <w:color w:val="auto"/>
          <w:szCs w:val="21"/>
          <w:highlight w:val="none"/>
          <w:lang w:val="nb-NO"/>
        </w:rPr>
        <w:t xml:space="preserve">-1 </w:t>
      </w:r>
      <w:r>
        <w:rPr>
          <w:rFonts w:hint="eastAsia"/>
          <w:color w:val="auto"/>
          <w:szCs w:val="21"/>
          <w:highlight w:val="none"/>
          <w:lang w:val="nb-NO"/>
        </w:rPr>
        <w:t>抗折试验装置</w:t>
      </w:r>
    </w:p>
    <w:p w14:paraId="32CD27CD">
      <w:pPr>
        <w:kinsoku/>
        <w:overflowPunct/>
        <w:bidi w:val="0"/>
        <w:spacing w:before="156" w:beforeLines="50" w:line="360" w:lineRule="auto"/>
        <w:ind w:firstLine="315" w:firstLineChars="150"/>
        <w:rPr>
          <w:color w:val="auto"/>
          <w:kern w:val="0"/>
          <w:szCs w:val="20"/>
          <w:highlight w:val="none"/>
        </w:rPr>
      </w:pPr>
      <w:r>
        <w:rPr>
          <w:color w:val="auto"/>
          <w:szCs w:val="21"/>
          <w:highlight w:val="none"/>
          <w:lang w:val="nb-NO"/>
        </w:rPr>
        <w:t>3</w:t>
      </w:r>
      <w:r>
        <w:rPr>
          <w:rFonts w:hint="eastAsia"/>
          <w:color w:val="auto"/>
          <w:highlight w:val="none"/>
        </w:rPr>
        <w:t xml:space="preserve"> 挠度测量装置（图6.5.2-2）应包括型钢或铝材制作的横梁、固定横梁于试件侧面的螺栓、固定测量挠度仪表的螺栓以及粘贴于试件侧面中点的测量触点板。挠度测试系统应包括电阻位移计或LVDT位移计及配套的电测信号放大仪器，量程不应小于5mm，精度不应低于0.001mm。</w:t>
      </w:r>
    </w:p>
    <w:p w14:paraId="037CA4AA">
      <w:pPr>
        <w:kinsoku/>
        <w:overflowPunct/>
        <w:bidi w:val="0"/>
        <w:spacing w:before="156" w:beforeLines="50" w:line="360" w:lineRule="auto"/>
        <w:jc w:val="center"/>
        <w:rPr>
          <w:color w:val="auto"/>
          <w:szCs w:val="21"/>
          <w:highlight w:val="none"/>
          <w:lang w:val="nb-NO"/>
        </w:rPr>
      </w:pPr>
      <w:r>
        <w:rPr>
          <w:color w:val="auto"/>
          <w:szCs w:val="21"/>
          <w:highlight w:val="none"/>
          <w:lang w:val="nb-NO"/>
        </w:rPr>
        <w:drawing>
          <wp:inline distT="0" distB="0" distL="114300" distR="114300">
            <wp:extent cx="3575050" cy="1410335"/>
            <wp:effectExtent l="0" t="0" r="6350" b="1841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79"/>
                    <a:stretch>
                      <a:fillRect/>
                    </a:stretch>
                  </pic:blipFill>
                  <pic:spPr>
                    <a:xfrm>
                      <a:off x="0" y="0"/>
                      <a:ext cx="3575050" cy="1410335"/>
                    </a:xfrm>
                    <a:prstGeom prst="rect">
                      <a:avLst/>
                    </a:prstGeom>
                    <a:noFill/>
                    <a:ln>
                      <a:noFill/>
                    </a:ln>
                  </pic:spPr>
                </pic:pic>
              </a:graphicData>
            </a:graphic>
          </wp:inline>
        </w:drawing>
      </w:r>
    </w:p>
    <w:p w14:paraId="5FC5C248">
      <w:pPr>
        <w:kinsoku/>
        <w:overflowPunct/>
        <w:bidi w:val="0"/>
        <w:spacing w:before="156" w:beforeLines="50" w:line="360" w:lineRule="auto"/>
        <w:jc w:val="center"/>
        <w:rPr>
          <w:color w:val="auto"/>
          <w:szCs w:val="21"/>
          <w:highlight w:val="none"/>
          <w:lang w:val="nb-NO"/>
        </w:rPr>
      </w:pPr>
      <w:r>
        <w:rPr>
          <w:rFonts w:hint="eastAsia"/>
          <w:color w:val="auto"/>
          <w:szCs w:val="21"/>
          <w:highlight w:val="none"/>
          <w:lang w:val="nb-NO"/>
        </w:rPr>
        <w:t>图</w:t>
      </w:r>
      <w:r>
        <w:rPr>
          <w:color w:val="auto"/>
          <w:szCs w:val="21"/>
          <w:highlight w:val="none"/>
          <w:lang w:val="nb-NO"/>
        </w:rPr>
        <w:t xml:space="preserve">6.5.1-2 </w:t>
      </w:r>
      <w:r>
        <w:rPr>
          <w:rFonts w:hint="eastAsia"/>
          <w:color w:val="auto"/>
          <w:szCs w:val="21"/>
          <w:highlight w:val="none"/>
          <w:lang w:val="nb-NO"/>
        </w:rPr>
        <w:t>挠度测量装置示意</w:t>
      </w:r>
    </w:p>
    <w:p w14:paraId="40BB2AA9">
      <w:pPr>
        <w:kinsoku/>
        <w:overflowPunct/>
        <w:bidi w:val="0"/>
        <w:spacing w:before="156" w:beforeLines="50" w:line="360" w:lineRule="auto"/>
        <w:jc w:val="center"/>
        <w:rPr>
          <w:color w:val="auto"/>
          <w:sz w:val="18"/>
          <w:szCs w:val="18"/>
          <w:highlight w:val="none"/>
          <w:lang w:val="nb-NO"/>
        </w:rPr>
      </w:pPr>
      <w:r>
        <w:rPr>
          <w:color w:val="auto"/>
          <w:sz w:val="18"/>
          <w:szCs w:val="18"/>
          <w:highlight w:val="none"/>
          <w:lang w:val="nb-NO"/>
        </w:rPr>
        <w:t>1</w:t>
      </w:r>
      <w:r>
        <w:rPr>
          <w:rFonts w:hint="eastAsia"/>
          <w:color w:val="auto"/>
          <w:sz w:val="18"/>
          <w:szCs w:val="18"/>
          <w:highlight w:val="none"/>
          <w:lang w:val="nb-NO"/>
        </w:rPr>
        <w:t>—枢轴；</w:t>
      </w:r>
      <w:r>
        <w:rPr>
          <w:color w:val="auto"/>
          <w:sz w:val="18"/>
          <w:szCs w:val="18"/>
          <w:highlight w:val="none"/>
          <w:lang w:val="nb-NO"/>
        </w:rPr>
        <w:t>2</w:t>
      </w:r>
      <w:r>
        <w:rPr>
          <w:rFonts w:hint="eastAsia"/>
          <w:color w:val="auto"/>
          <w:sz w:val="18"/>
          <w:szCs w:val="18"/>
          <w:highlight w:val="none"/>
          <w:lang w:val="nb-NO"/>
        </w:rPr>
        <w:t>—千分表或位移计；</w:t>
      </w:r>
      <w:r>
        <w:rPr>
          <w:color w:val="auto"/>
          <w:sz w:val="18"/>
          <w:szCs w:val="18"/>
          <w:highlight w:val="none"/>
          <w:lang w:val="nb-NO"/>
        </w:rPr>
        <w:t>3</w:t>
      </w:r>
      <w:r>
        <w:rPr>
          <w:rFonts w:hint="eastAsia"/>
          <w:color w:val="auto"/>
          <w:sz w:val="18"/>
          <w:szCs w:val="18"/>
          <w:highlight w:val="none"/>
          <w:lang w:val="nb-NO"/>
        </w:rPr>
        <w:t>—试件；</w:t>
      </w:r>
      <w:r>
        <w:rPr>
          <w:color w:val="auto"/>
          <w:sz w:val="18"/>
          <w:szCs w:val="18"/>
          <w:highlight w:val="none"/>
          <w:lang w:val="nb-NO"/>
        </w:rPr>
        <w:t>4</w:t>
      </w:r>
      <w:r>
        <w:rPr>
          <w:rFonts w:hint="eastAsia"/>
          <w:color w:val="auto"/>
          <w:sz w:val="18"/>
          <w:szCs w:val="18"/>
          <w:highlight w:val="none"/>
          <w:lang w:val="nb-NO"/>
        </w:rPr>
        <w:t>—角状切片；</w:t>
      </w:r>
      <w:r>
        <w:rPr>
          <w:color w:val="auto"/>
          <w:sz w:val="18"/>
          <w:szCs w:val="18"/>
          <w:highlight w:val="none"/>
          <w:lang w:val="nb-NO"/>
        </w:rPr>
        <w:t>5</w:t>
      </w:r>
      <w:r>
        <w:rPr>
          <w:rFonts w:hint="eastAsia"/>
          <w:color w:val="auto"/>
          <w:sz w:val="18"/>
          <w:szCs w:val="18"/>
          <w:highlight w:val="none"/>
          <w:lang w:val="nb-NO"/>
        </w:rPr>
        <w:t>—滚动支座</w:t>
      </w:r>
    </w:p>
    <w:p w14:paraId="23D1FBDA">
      <w:pPr>
        <w:kinsoku/>
        <w:overflowPunct/>
        <w:bidi w:val="0"/>
        <w:spacing w:before="156" w:beforeLines="50" w:line="360" w:lineRule="auto"/>
        <w:rPr>
          <w:color w:val="auto"/>
          <w:highlight w:val="none"/>
        </w:rPr>
      </w:pPr>
      <w:r>
        <w:rPr>
          <w:rFonts w:hint="eastAsia"/>
          <w:color w:val="auto"/>
          <w:highlight w:val="none"/>
        </w:rPr>
        <w:t>6.5</w:t>
      </w:r>
      <w:r>
        <w:rPr>
          <w:color w:val="auto"/>
          <w:highlight w:val="none"/>
        </w:rPr>
        <w:t>.</w:t>
      </w:r>
      <w:r>
        <w:rPr>
          <w:rFonts w:hint="eastAsia"/>
          <w:color w:val="auto"/>
          <w:highlight w:val="none"/>
        </w:rPr>
        <w:t>3</w:t>
      </w:r>
      <w:r>
        <w:rPr>
          <w:color w:val="auto"/>
          <w:highlight w:val="none"/>
        </w:rPr>
        <w:t xml:space="preserve"> </w:t>
      </w:r>
      <w:r>
        <w:rPr>
          <w:rFonts w:hint="eastAsia"/>
          <w:color w:val="auto"/>
          <w:highlight w:val="none"/>
        </w:rPr>
        <w:t>抗</w:t>
      </w:r>
      <w:r>
        <w:rPr>
          <w:rFonts w:hint="eastAsia"/>
          <w:color w:val="auto"/>
          <w:highlight w:val="none"/>
          <w:lang w:val="en-US" w:eastAsia="zh-CN"/>
        </w:rPr>
        <w:t>折</w:t>
      </w:r>
      <w:r>
        <w:rPr>
          <w:rFonts w:hint="eastAsia"/>
          <w:color w:val="auto"/>
          <w:highlight w:val="none"/>
        </w:rPr>
        <w:t>强度及弯曲韧性试验应按下列步骤进行：</w:t>
      </w:r>
    </w:p>
    <w:p w14:paraId="49B79251">
      <w:pPr>
        <w:kinsoku/>
        <w:overflowPunct/>
        <w:bidi w:val="0"/>
        <w:spacing w:before="156" w:beforeLines="50" w:line="360" w:lineRule="auto"/>
        <w:ind w:firstLine="315" w:firstLineChars="150"/>
        <w:rPr>
          <w:color w:val="auto"/>
          <w:highlight w:val="none"/>
        </w:rPr>
      </w:pPr>
      <w:r>
        <w:rPr>
          <w:color w:val="auto"/>
          <w:highlight w:val="none"/>
        </w:rPr>
        <w:t xml:space="preserve">1 </w:t>
      </w:r>
      <w:r>
        <w:rPr>
          <w:rFonts w:hint="eastAsia"/>
          <w:color w:val="auto"/>
          <w:szCs w:val="21"/>
          <w:highlight w:val="none"/>
        </w:rPr>
        <w:t>试件到达试验龄期时，从养护地点取出后，应检查其尺寸及形状，尺寸公差应满足本标准第</w:t>
      </w:r>
      <w:r>
        <w:rPr>
          <w:color w:val="auto"/>
          <w:szCs w:val="21"/>
          <w:highlight w:val="none"/>
        </w:rPr>
        <w:t>4.</w:t>
      </w:r>
      <w:r>
        <w:rPr>
          <w:rFonts w:hint="eastAsia"/>
          <w:color w:val="auto"/>
          <w:szCs w:val="21"/>
          <w:highlight w:val="none"/>
          <w:lang w:eastAsia="zh"/>
          <w:woUserID w:val="3"/>
        </w:rPr>
        <w:t>3</w:t>
      </w:r>
      <w:r>
        <w:rPr>
          <w:rFonts w:hint="eastAsia"/>
          <w:color w:val="auto"/>
          <w:szCs w:val="21"/>
          <w:highlight w:val="none"/>
        </w:rPr>
        <w:t>节的规定，缺陷应满足本标准6.5.1条规定，试件取出后应尽快进行试验。</w:t>
      </w:r>
      <w:r>
        <w:rPr>
          <w:rFonts w:hint="eastAsia"/>
          <w:color w:val="auto"/>
          <w:highlight w:val="none"/>
        </w:rPr>
        <w:t>应在试件中部测量其宽度和高度。</w:t>
      </w:r>
    </w:p>
    <w:p w14:paraId="17F15EA2">
      <w:pPr>
        <w:kinsoku/>
        <w:overflowPunct/>
        <w:bidi w:val="0"/>
        <w:spacing w:before="156" w:beforeLines="50" w:line="360" w:lineRule="auto"/>
        <w:ind w:firstLine="315" w:firstLineChars="150"/>
        <w:rPr>
          <w:color w:val="auto"/>
          <w:szCs w:val="21"/>
          <w:highlight w:val="none"/>
        </w:rPr>
      </w:pPr>
      <w:r>
        <w:rPr>
          <w:color w:val="auto"/>
          <w:highlight w:val="none"/>
        </w:rPr>
        <w:t>2</w:t>
      </w:r>
      <w:r>
        <w:rPr>
          <w:rFonts w:hint="eastAsia"/>
          <w:color w:val="auto"/>
          <w:highlight w:val="none"/>
        </w:rPr>
        <w:t xml:space="preserve"> </w:t>
      </w:r>
      <w:r>
        <w:rPr>
          <w:rFonts w:hint="eastAsia"/>
          <w:color w:val="auto"/>
          <w:szCs w:val="21"/>
          <w:highlight w:val="none"/>
        </w:rPr>
        <w:t>试件放置在试验装置前，应将试件表面擦拭干净，并在试件侧面划出加荷线位置。</w:t>
      </w:r>
    </w:p>
    <w:p w14:paraId="22750924">
      <w:pPr>
        <w:kinsoku/>
        <w:overflowPunct/>
        <w:bidi w:val="0"/>
        <w:spacing w:before="156" w:beforeLines="50" w:line="360" w:lineRule="auto"/>
        <w:ind w:firstLine="315" w:firstLineChars="150"/>
        <w:rPr>
          <w:rFonts w:hint="eastAsia"/>
          <w:strike/>
          <w:color w:val="auto"/>
          <w:szCs w:val="21"/>
          <w:highlight w:val="none"/>
          <w:lang w:val="nb-NO"/>
        </w:rPr>
      </w:pPr>
      <w:r>
        <w:rPr>
          <w:rFonts w:hint="eastAsia"/>
          <w:color w:val="auto"/>
          <w:szCs w:val="21"/>
          <w:highlight w:val="none"/>
        </w:rPr>
        <w:t>3 试件安装时，可调整支座和加荷头位置，安装尺寸偏差不得大于</w:t>
      </w:r>
      <w:r>
        <w:rPr>
          <w:color w:val="auto"/>
          <w:szCs w:val="21"/>
          <w:highlight w:val="none"/>
        </w:rPr>
        <w:t>1mm</w:t>
      </w:r>
      <w:r>
        <w:rPr>
          <w:rFonts w:hint="eastAsia"/>
          <w:color w:val="auto"/>
          <w:szCs w:val="21"/>
          <w:highlight w:val="none"/>
        </w:rPr>
        <w:t>（图6.5.2-1）。试件的承压面应为试件成型时的侧面。支座及承压面与圆柱的接触面应平稳、均匀，否则应垫平。</w:t>
      </w:r>
    </w:p>
    <w:p w14:paraId="7588585F">
      <w:pPr>
        <w:kinsoku/>
        <w:overflowPunct/>
        <w:bidi w:val="0"/>
        <w:spacing w:before="156" w:beforeLines="50" w:line="360" w:lineRule="auto"/>
        <w:ind w:firstLine="315" w:firstLineChars="150"/>
        <w:rPr>
          <w:rFonts w:hint="eastAsia"/>
          <w:strike/>
          <w:color w:val="auto"/>
          <w:szCs w:val="21"/>
          <w:highlight w:val="none"/>
          <w:lang w:val="nb-NO"/>
        </w:rPr>
      </w:pPr>
      <w:r>
        <w:rPr>
          <w:rFonts w:hint="default" w:ascii="Times New Roman" w:hAnsi="Times New Roman" w:eastAsia="宋体" w:cs="Times New Roman"/>
          <w:color w:val="auto"/>
          <w:kern w:val="2"/>
          <w:sz w:val="21"/>
          <w:szCs w:val="24"/>
          <w:highlight w:val="none"/>
          <w:lang w:val="en-US" w:eastAsia="zh-CN" w:bidi="ar"/>
          <w:woUserID w:val="3"/>
        </w:rPr>
        <w:t xml:space="preserve">4 </w:t>
      </w:r>
      <w:r>
        <w:rPr>
          <w:rFonts w:hint="eastAsia" w:ascii="Times New Roman" w:hAnsi="Times New Roman" w:eastAsia="宋体" w:cs="Times New Roman"/>
          <w:color w:val="auto"/>
          <w:kern w:val="2"/>
          <w:sz w:val="21"/>
          <w:szCs w:val="24"/>
          <w:highlight w:val="none"/>
          <w:lang w:val="en-US" w:eastAsia="zh-CN" w:bidi="ar"/>
          <w:woUserID w:val="3"/>
        </w:rPr>
        <w:t>按照图</w:t>
      </w:r>
      <w:r>
        <w:rPr>
          <w:rFonts w:hint="default" w:ascii="Times New Roman" w:hAnsi="Times New Roman" w:eastAsia="宋体" w:cs="Times New Roman"/>
          <w:color w:val="auto"/>
          <w:kern w:val="2"/>
          <w:sz w:val="21"/>
          <w:szCs w:val="24"/>
          <w:highlight w:val="none"/>
          <w:lang w:val="en-US" w:eastAsia="zh-CN" w:bidi="ar"/>
          <w:woUserID w:val="3"/>
        </w:rPr>
        <w:t>6.5.1-2</w:t>
      </w:r>
      <w:r>
        <w:rPr>
          <w:rFonts w:hint="eastAsia" w:ascii="Times New Roman" w:hAnsi="Times New Roman" w:eastAsia="宋体" w:cs="Times New Roman"/>
          <w:color w:val="auto"/>
          <w:kern w:val="2"/>
          <w:sz w:val="21"/>
          <w:szCs w:val="24"/>
          <w:highlight w:val="none"/>
          <w:lang w:val="en-US" w:eastAsia="zh-CN" w:bidi="ar"/>
          <w:woUserID w:val="3"/>
        </w:rPr>
        <w:t>的</w:t>
      </w:r>
      <w:r>
        <w:rPr>
          <w:rFonts w:hint="eastAsia" w:ascii="Times New Roman" w:hAnsi="Times New Roman" w:eastAsia="宋体" w:cs="Times New Roman"/>
          <w:color w:val="auto"/>
          <w:kern w:val="2"/>
          <w:sz w:val="21"/>
          <w:szCs w:val="24"/>
          <w:highlight w:val="none"/>
          <w:lang w:val="en-US" w:eastAsia="zh" w:bidi="ar"/>
          <w:woUserID w:val="3"/>
        </w:rPr>
        <w:t>要求</w:t>
      </w:r>
      <w:r>
        <w:rPr>
          <w:rFonts w:hint="eastAsia" w:ascii="Times New Roman" w:hAnsi="Times New Roman" w:eastAsia="宋体" w:cs="Times New Roman"/>
          <w:color w:val="auto"/>
          <w:kern w:val="2"/>
          <w:sz w:val="21"/>
          <w:szCs w:val="24"/>
          <w:highlight w:val="none"/>
          <w:lang w:val="en-US" w:eastAsia="zh-CN" w:bidi="ar"/>
          <w:woUserID w:val="3"/>
        </w:rPr>
        <w:t>，安装挠度试验装置。仅测试抗折强度时，可不安装挠度测量装置。</w:t>
      </w:r>
    </w:p>
    <w:p w14:paraId="7EEC6A23">
      <w:pPr>
        <w:kinsoku/>
        <w:overflowPunct/>
        <w:bidi w:val="0"/>
        <w:spacing w:before="156" w:beforeLines="50" w:line="360" w:lineRule="auto"/>
        <w:ind w:firstLine="315" w:firstLineChars="150"/>
        <w:rPr>
          <w:color w:val="auto"/>
          <w:highlight w:val="none"/>
        </w:rPr>
      </w:pPr>
      <w:r>
        <w:rPr>
          <w:rFonts w:hint="eastAsia"/>
          <w:color w:val="auto"/>
          <w:highlight w:val="none"/>
          <w:lang w:eastAsia="zh"/>
          <w:woUserID w:val="3"/>
        </w:rPr>
        <w:t>5</w:t>
      </w:r>
      <w:r>
        <w:rPr>
          <w:rFonts w:hint="eastAsia"/>
          <w:color w:val="auto"/>
          <w:highlight w:val="none"/>
        </w:rPr>
        <w:t xml:space="preserve"> 试件安放好后，缓缓加荷至1kN，停机检查试件与压头及支座的接触情况，确保试件不扭动，然后安装测量跨中挠度的仪表。安装完测量变形的仪表后，首先接通测试线路并做空载调试，然后做预加载调试，待测试系统工作正常后方可进行正式试验。</w:t>
      </w:r>
    </w:p>
    <w:p w14:paraId="3B9EF3AD">
      <w:pPr>
        <w:kinsoku/>
        <w:overflowPunct/>
        <w:bidi w:val="0"/>
        <w:spacing w:before="156" w:beforeLines="50" w:line="360" w:lineRule="auto"/>
        <w:ind w:firstLine="315" w:firstLineChars="150"/>
        <w:rPr>
          <w:color w:val="auto"/>
          <w:highlight w:val="none"/>
        </w:rPr>
      </w:pPr>
      <w:r>
        <w:rPr>
          <w:rFonts w:hint="eastAsia"/>
          <w:color w:val="auto"/>
          <w:highlight w:val="none"/>
          <w:lang w:eastAsia="zh"/>
          <w:woUserID w:val="3"/>
        </w:rPr>
        <w:t>6</w:t>
      </w:r>
      <w:r>
        <w:rPr>
          <w:rFonts w:hint="eastAsia"/>
          <w:color w:val="auto"/>
          <w:highlight w:val="none"/>
        </w:rPr>
        <w:t xml:space="preserve"> 对试件进行连续、均匀加载，</w:t>
      </w:r>
      <w:r>
        <w:rPr>
          <w:rFonts w:hint="eastAsia"/>
          <w:color w:val="auto"/>
          <w:highlight w:val="none"/>
          <w:lang w:eastAsia="zh"/>
          <w:woUserID w:val="3"/>
        </w:rPr>
        <w:t>弯曲韧性试验</w:t>
      </w:r>
      <w:r>
        <w:rPr>
          <w:rFonts w:hint="eastAsia"/>
          <w:color w:val="auto"/>
          <w:highlight w:val="none"/>
        </w:rPr>
        <w:t>加载速率宜为</w:t>
      </w:r>
      <w:r>
        <w:rPr>
          <w:color w:val="auto"/>
          <w:highlight w:val="none"/>
        </w:rPr>
        <w:t>0.1mm/min</w:t>
      </w:r>
      <w:r>
        <w:rPr>
          <w:rFonts w:hint="eastAsia"/>
          <w:strike/>
          <w:color w:val="auto"/>
          <w:szCs w:val="21"/>
          <w:highlight w:val="none"/>
          <w:lang w:val="nb-NO" w:eastAsia="zh"/>
          <w:woUserID w:val="3"/>
        </w:rPr>
        <w:t>，</w:t>
      </w:r>
      <w:r>
        <w:rPr>
          <w:rFonts w:hint="eastAsia" w:ascii="Times New Roman" w:hAnsi="Times New Roman" w:eastAsia="宋体" w:cs="Times New Roman"/>
          <w:color w:val="auto"/>
          <w:kern w:val="2"/>
          <w:sz w:val="21"/>
          <w:szCs w:val="24"/>
          <w:highlight w:val="none"/>
          <w:lang w:val="en-US" w:eastAsia="zh-CN" w:bidi="ar"/>
          <w:woUserID w:val="3"/>
        </w:rPr>
        <w:t>抗折强度试验加载速率应为</w:t>
      </w:r>
      <w:r>
        <w:rPr>
          <w:rFonts w:hint="default" w:ascii="Times New Roman" w:hAnsi="Times New Roman" w:eastAsia="宋体" w:cs="Times New Roman"/>
          <w:color w:val="auto"/>
          <w:kern w:val="2"/>
          <w:sz w:val="21"/>
          <w:szCs w:val="24"/>
          <w:highlight w:val="none"/>
          <w:lang w:val="en-US" w:eastAsia="zh-CN" w:bidi="ar"/>
          <w:woUserID w:val="3"/>
        </w:rPr>
        <w:t>0.08 MPa/s~0.10 MPa/s</w:t>
      </w:r>
      <w:r>
        <w:rPr>
          <w:rFonts w:ascii="宋体" w:hAnsi="宋体" w:eastAsia="宋体" w:cs="宋体"/>
          <w:color w:val="auto"/>
          <w:sz w:val="24"/>
          <w:szCs w:val="24"/>
          <w:highlight w:val="none"/>
          <w:lang w:eastAsia="zh-CN"/>
          <w:woUserID w:val="3"/>
        </w:rPr>
        <w:t xml:space="preserve"> </w:t>
      </w:r>
      <w:r>
        <w:rPr>
          <w:rFonts w:hint="eastAsia"/>
          <w:color w:val="auto"/>
          <w:highlight w:val="none"/>
        </w:rPr>
        <w:t>。</w:t>
      </w:r>
    </w:p>
    <w:p w14:paraId="671CB8C1">
      <w:pPr>
        <w:kinsoku/>
        <w:overflowPunct/>
        <w:bidi w:val="0"/>
        <w:spacing w:before="156" w:beforeLines="50" w:line="360" w:lineRule="auto"/>
        <w:ind w:firstLine="315" w:firstLineChars="150"/>
        <w:rPr>
          <w:color w:val="auto"/>
          <w:highlight w:val="none"/>
        </w:rPr>
      </w:pPr>
      <w:r>
        <w:rPr>
          <w:rFonts w:hint="eastAsia"/>
          <w:color w:val="auto"/>
          <w:highlight w:val="none"/>
          <w:lang w:eastAsia="zh"/>
          <w:woUserID w:val="3"/>
        </w:rPr>
        <w:t>7</w:t>
      </w:r>
      <w:r>
        <w:rPr>
          <w:color w:val="auto"/>
          <w:highlight w:val="none"/>
        </w:rPr>
        <w:t xml:space="preserve"> </w:t>
      </w:r>
      <w:r>
        <w:rPr>
          <w:rFonts w:hint="eastAsia"/>
          <w:color w:val="auto"/>
          <w:highlight w:val="none"/>
        </w:rPr>
        <w:t>当满足下列条件之一时，应终止加载，停止试验：</w:t>
      </w:r>
    </w:p>
    <w:p w14:paraId="53E8B627">
      <w:pPr>
        <w:widowControl/>
        <w:kinsoku/>
        <w:overflowPunct/>
        <w:bidi w:val="0"/>
        <w:spacing w:before="50" w:line="360" w:lineRule="auto"/>
        <w:ind w:left="420"/>
        <w:jc w:val="left"/>
        <w:rPr>
          <w:color w:val="auto"/>
          <w:highlight w:val="none"/>
        </w:rPr>
      </w:pPr>
      <w:r>
        <w:rPr>
          <w:color w:val="auto"/>
          <w:highlight w:val="none"/>
        </w:rPr>
        <w:t>1</w:t>
      </w:r>
      <w:r>
        <w:rPr>
          <w:rFonts w:hint="eastAsia"/>
          <w:color w:val="auto"/>
          <w:highlight w:val="none"/>
        </w:rPr>
        <w:t>）试件进入应变软化阶段后拉应力低于抗拉强度的</w:t>
      </w:r>
      <w:r>
        <w:rPr>
          <w:color w:val="auto"/>
          <w:highlight w:val="none"/>
        </w:rPr>
        <w:t>10%</w:t>
      </w:r>
      <w:r>
        <w:rPr>
          <w:rFonts w:hint="eastAsia"/>
          <w:color w:val="auto"/>
          <w:highlight w:val="none"/>
        </w:rPr>
        <w:t>时；</w:t>
      </w:r>
    </w:p>
    <w:p w14:paraId="21A0E18B">
      <w:pPr>
        <w:widowControl/>
        <w:kinsoku/>
        <w:overflowPunct/>
        <w:bidi w:val="0"/>
        <w:spacing w:before="50" w:line="360" w:lineRule="auto"/>
        <w:ind w:left="420"/>
        <w:jc w:val="left"/>
        <w:rPr>
          <w:color w:val="auto"/>
          <w:highlight w:val="none"/>
        </w:rPr>
      </w:pPr>
      <w:r>
        <w:rPr>
          <w:color w:val="auto"/>
          <w:highlight w:val="none"/>
        </w:rPr>
        <w:t>2</w:t>
      </w:r>
      <w:r>
        <w:rPr>
          <w:rFonts w:hint="eastAsia"/>
          <w:color w:val="auto"/>
          <w:highlight w:val="none"/>
        </w:rPr>
        <w:t>）试件测试挠度满足试验计算需求；</w:t>
      </w:r>
    </w:p>
    <w:p w14:paraId="08714C15">
      <w:pPr>
        <w:widowControl/>
        <w:kinsoku/>
        <w:overflowPunct/>
        <w:bidi w:val="0"/>
        <w:spacing w:before="50" w:line="360" w:lineRule="auto"/>
        <w:ind w:left="420"/>
        <w:jc w:val="left"/>
        <w:rPr>
          <w:color w:val="auto"/>
          <w:highlight w:val="none"/>
        </w:rPr>
      </w:pPr>
      <w:r>
        <w:rPr>
          <w:color w:val="auto"/>
          <w:highlight w:val="none"/>
        </w:rPr>
        <w:t>3</w:t>
      </w:r>
      <w:r>
        <w:rPr>
          <w:rFonts w:hint="eastAsia"/>
          <w:color w:val="auto"/>
          <w:highlight w:val="none"/>
        </w:rPr>
        <w:t>）折断。</w:t>
      </w:r>
    </w:p>
    <w:p w14:paraId="4EB0CC88">
      <w:pPr>
        <w:kinsoku/>
        <w:overflowPunct/>
        <w:bidi w:val="0"/>
        <w:spacing w:before="156" w:beforeLines="50" w:line="360" w:lineRule="auto"/>
        <w:ind w:firstLine="315" w:firstLineChars="150"/>
        <w:rPr>
          <w:color w:val="auto"/>
          <w:highlight w:val="none"/>
        </w:rPr>
      </w:pPr>
      <w:r>
        <w:rPr>
          <w:rFonts w:hint="eastAsia"/>
          <w:color w:val="auto"/>
          <w:szCs w:val="21"/>
          <w:highlight w:val="none"/>
          <w:lang w:val="nb-NO" w:eastAsia="zh"/>
          <w:woUserID w:val="3"/>
        </w:rPr>
        <w:t>8</w:t>
      </w:r>
      <w:r>
        <w:rPr>
          <w:rFonts w:hint="eastAsia"/>
          <w:color w:val="auto"/>
          <w:szCs w:val="21"/>
          <w:highlight w:val="none"/>
          <w:lang w:val="nb-NO"/>
        </w:rPr>
        <w:t xml:space="preserve"> 停止试验后，记录试件下边缘断裂位置，</w:t>
      </w:r>
      <w:r>
        <w:rPr>
          <w:rFonts w:hint="eastAsia"/>
          <w:color w:val="auto"/>
          <w:highlight w:val="none"/>
        </w:rPr>
        <w:t>若试件在受拉面三分点以外断裂，则该试件为无效试件。</w:t>
      </w:r>
    </w:p>
    <w:p w14:paraId="33966D95">
      <w:pPr>
        <w:kinsoku/>
        <w:overflowPunct/>
        <w:bidi w:val="0"/>
        <w:spacing w:before="156" w:beforeLines="50" w:line="360" w:lineRule="auto"/>
        <w:ind w:firstLine="315" w:firstLineChars="150"/>
        <w:rPr>
          <w:color w:val="auto"/>
          <w:highlight w:val="none"/>
        </w:rPr>
      </w:pPr>
      <w:r>
        <w:rPr>
          <w:rFonts w:hint="eastAsia"/>
          <w:color w:val="auto"/>
          <w:szCs w:val="21"/>
          <w:highlight w:val="none"/>
          <w:lang w:val="en-US" w:eastAsia="zh-CN"/>
          <w:woUserID w:val="3"/>
        </w:rPr>
        <w:t>9</w:t>
      </w:r>
      <w:r>
        <w:rPr>
          <w:rFonts w:hint="eastAsia"/>
          <w:color w:val="auto"/>
          <w:highlight w:val="none"/>
        </w:rPr>
        <w:t xml:space="preserve"> 绘制荷载—挠度曲线</w:t>
      </w:r>
      <w:r>
        <w:rPr>
          <w:rFonts w:hint="eastAsia"/>
          <w:color w:val="auto"/>
          <w:highlight w:val="none"/>
          <w:lang w:eastAsia="zh-CN"/>
          <w:woUserID w:val="3"/>
        </w:rPr>
        <w:t>。</w:t>
      </w:r>
      <w:r>
        <w:rPr>
          <w:rFonts w:hint="eastAsia" w:ascii="Times New Roman" w:hAnsi="Times New Roman" w:eastAsia="宋体" w:cs="Times New Roman"/>
          <w:color w:val="auto"/>
          <w:kern w:val="2"/>
          <w:sz w:val="21"/>
          <w:szCs w:val="24"/>
          <w:highlight w:val="none"/>
          <w:lang w:val="en-US" w:eastAsia="zh-CN" w:bidi="ar"/>
          <w:woUserID w:val="3"/>
        </w:rPr>
        <w:t>当只需测量抗折强度而无需测量弯曲韧性时，可不绘制荷载—挠度曲线</w:t>
      </w:r>
      <w:r>
        <w:rPr>
          <w:rFonts w:ascii="宋体" w:hAnsi="宋体" w:eastAsia="宋体" w:cs="宋体"/>
          <w:color w:val="auto"/>
          <w:sz w:val="24"/>
          <w:szCs w:val="24"/>
          <w:highlight w:val="none"/>
          <w:lang w:eastAsia="zh-CN"/>
          <w:woUserID w:val="3"/>
        </w:rPr>
        <w:t xml:space="preserve"> </w:t>
      </w:r>
      <w:r>
        <w:rPr>
          <w:rFonts w:hint="eastAsia"/>
          <w:color w:val="auto"/>
          <w:highlight w:val="none"/>
        </w:rPr>
        <w:t>。</w:t>
      </w:r>
    </w:p>
    <w:p w14:paraId="1C7ED294">
      <w:pPr>
        <w:kinsoku/>
        <w:overflowPunct/>
        <w:bidi w:val="0"/>
        <w:spacing w:before="156" w:beforeLines="50" w:line="360" w:lineRule="auto"/>
        <w:ind w:firstLine="315" w:firstLineChars="150"/>
        <w:rPr>
          <w:color w:val="auto"/>
          <w:szCs w:val="21"/>
          <w:highlight w:val="none"/>
          <w:lang w:val="nb-NO"/>
        </w:rPr>
      </w:pPr>
      <w:r>
        <w:rPr>
          <w:rFonts w:hint="eastAsia"/>
          <w:color w:val="auto"/>
          <w:szCs w:val="21"/>
          <w:highlight w:val="none"/>
          <w:lang w:val="en-US" w:eastAsia="zh-CN"/>
          <w:woUserID w:val="3"/>
        </w:rPr>
        <w:t>10</w:t>
      </w:r>
      <w:r>
        <w:rPr>
          <w:rFonts w:hint="eastAsia"/>
          <w:color w:val="auto"/>
          <w:szCs w:val="21"/>
          <w:highlight w:val="none"/>
          <w:lang w:val="nb-NO" w:eastAsia="zh-CN"/>
          <w:woUserID w:val="3"/>
        </w:rPr>
        <w:t xml:space="preserve"> </w:t>
      </w:r>
      <w:r>
        <w:rPr>
          <w:rFonts w:hint="eastAsia"/>
          <w:color w:val="auto"/>
          <w:szCs w:val="21"/>
          <w:highlight w:val="none"/>
          <w:lang w:val="nb-NO"/>
        </w:rPr>
        <w:t>手动控制压力机加荷速度时，当试件接近破坏时，应停止调整试验机油门，直至破坏，并按照本条</w:t>
      </w:r>
      <w:r>
        <w:rPr>
          <w:rFonts w:hint="eastAsia"/>
          <w:color w:val="auto"/>
          <w:szCs w:val="21"/>
          <w:highlight w:val="none"/>
          <w:lang w:val="nb-NO" w:eastAsia="zh"/>
          <w:woUserID w:val="3"/>
        </w:rPr>
        <w:t>8</w:t>
      </w:r>
      <w:r>
        <w:rPr>
          <w:rFonts w:hint="eastAsia"/>
          <w:color w:val="auto"/>
          <w:szCs w:val="21"/>
          <w:highlight w:val="none"/>
          <w:lang w:val="nb-NO"/>
        </w:rPr>
        <w:t>和</w:t>
      </w:r>
      <w:r>
        <w:rPr>
          <w:rFonts w:hint="eastAsia"/>
          <w:color w:val="auto"/>
          <w:szCs w:val="21"/>
          <w:highlight w:val="none"/>
          <w:lang w:val="nb-NO" w:eastAsia="zh"/>
          <w:woUserID w:val="3"/>
        </w:rPr>
        <w:t>9</w:t>
      </w:r>
      <w:r>
        <w:rPr>
          <w:rFonts w:hint="eastAsia"/>
          <w:color w:val="auto"/>
          <w:szCs w:val="21"/>
          <w:highlight w:val="none"/>
          <w:lang w:val="nb-NO"/>
        </w:rPr>
        <w:t>款记录试件下边缘断裂位置和绘制荷载—挠度曲线。</w:t>
      </w:r>
    </w:p>
    <w:p w14:paraId="6806612D">
      <w:pPr>
        <w:kinsoku/>
        <w:overflowPunct/>
        <w:bidi w:val="0"/>
        <w:spacing w:before="156" w:beforeLines="50" w:line="360" w:lineRule="auto"/>
        <w:rPr>
          <w:color w:val="auto"/>
          <w:highlight w:val="none"/>
        </w:rPr>
      </w:pPr>
      <w:r>
        <w:rPr>
          <w:rFonts w:hint="eastAsia"/>
          <w:color w:val="auto"/>
          <w:highlight w:val="none"/>
        </w:rPr>
        <w:t>6.5</w:t>
      </w:r>
      <w:r>
        <w:rPr>
          <w:color w:val="auto"/>
          <w:highlight w:val="none"/>
        </w:rPr>
        <w:t>.</w:t>
      </w:r>
      <w:r>
        <w:rPr>
          <w:rFonts w:hint="eastAsia"/>
          <w:color w:val="auto"/>
          <w:highlight w:val="none"/>
        </w:rPr>
        <w:t>4 超高性能混凝土抗折强度试验结果计算及确定应按下列方法进行。</w:t>
      </w:r>
    </w:p>
    <w:p w14:paraId="30A315CA">
      <w:pPr>
        <w:kinsoku/>
        <w:overflowPunct/>
        <w:bidi w:val="0"/>
        <w:spacing w:before="156" w:beforeLines="50" w:line="360" w:lineRule="auto"/>
        <w:ind w:firstLine="315" w:firstLineChars="150"/>
        <w:rPr>
          <w:color w:val="auto"/>
          <w:highlight w:val="none"/>
        </w:rPr>
      </w:pPr>
      <w:r>
        <w:rPr>
          <w:color w:val="auto"/>
          <w:highlight w:val="none"/>
        </w:rPr>
        <w:t xml:space="preserve">1 </w:t>
      </w:r>
      <w:r>
        <w:rPr>
          <w:rFonts w:hint="eastAsia"/>
          <w:color w:val="auto"/>
          <w:highlight w:val="none"/>
        </w:rPr>
        <w:t>抗折强度试验结果计算及确定应按下列方法进行。</w:t>
      </w:r>
    </w:p>
    <w:p w14:paraId="57CAFB8D">
      <w:pPr>
        <w:kinsoku/>
        <w:overflowPunct/>
        <w:bidi w:val="0"/>
        <w:spacing w:before="156" w:beforeLines="50" w:line="360" w:lineRule="auto"/>
        <w:ind w:firstLine="525" w:firstLineChars="250"/>
        <w:rPr>
          <w:color w:val="auto"/>
          <w:highlight w:val="none"/>
        </w:rPr>
      </w:pPr>
      <w:r>
        <w:rPr>
          <w:color w:val="auto"/>
          <w:highlight w:val="none"/>
        </w:rPr>
        <w:t>1</w:t>
      </w:r>
      <w:r>
        <w:rPr>
          <w:rFonts w:hint="eastAsia"/>
          <w:color w:val="auto"/>
          <w:highlight w:val="none"/>
        </w:rPr>
        <w:t>）</w:t>
      </w:r>
      <w:r>
        <w:rPr>
          <w:rFonts w:hint="eastAsia"/>
          <w:color w:val="auto"/>
          <w:szCs w:val="21"/>
          <w:highlight w:val="none"/>
          <w:lang w:val="nb-NO"/>
        </w:rPr>
        <w:t>若试件下边缘断裂位置处于二个集中荷载作用线之间，则试件的抗折强度</w:t>
      </w:r>
      <w:r>
        <w:rPr>
          <w:i/>
          <w:color w:val="auto"/>
          <w:szCs w:val="21"/>
          <w:highlight w:val="none"/>
          <w:lang w:val="nb-NO"/>
        </w:rPr>
        <w:t>f</w:t>
      </w:r>
      <w:r>
        <w:rPr>
          <w:iCs/>
          <w:color w:val="auto"/>
          <w:szCs w:val="21"/>
          <w:highlight w:val="none"/>
          <w:vertAlign w:val="subscript"/>
          <w:lang w:val="nb-NO"/>
        </w:rPr>
        <w:t>f</w:t>
      </w:r>
      <w:r>
        <w:rPr>
          <w:rFonts w:hint="eastAsia"/>
          <w:color w:val="auto"/>
          <w:szCs w:val="21"/>
          <w:highlight w:val="none"/>
          <w:lang w:val="nb-NO"/>
        </w:rPr>
        <w:t>（</w:t>
      </w:r>
      <w:r>
        <w:rPr>
          <w:color w:val="auto"/>
          <w:szCs w:val="21"/>
          <w:highlight w:val="none"/>
          <w:lang w:val="nb-NO"/>
        </w:rPr>
        <w:t>MPa</w:t>
      </w:r>
      <w:r>
        <w:rPr>
          <w:rFonts w:hint="eastAsia"/>
          <w:color w:val="auto"/>
          <w:szCs w:val="21"/>
          <w:highlight w:val="none"/>
          <w:lang w:val="nb-NO"/>
        </w:rPr>
        <w:t>）按下式计算：</w:t>
      </w:r>
    </w:p>
    <w:p w14:paraId="2DBB407D">
      <w:pPr>
        <w:kinsoku/>
        <w:overflowPunct/>
        <w:bidi w:val="0"/>
        <w:spacing w:before="156" w:beforeLines="50" w:line="360" w:lineRule="auto"/>
        <w:ind w:firstLine="315" w:firstLineChars="150"/>
        <w:jc w:val="right"/>
        <w:rPr>
          <w:color w:val="auto"/>
          <w:highlight w:val="none"/>
        </w:rPr>
      </w:pPr>
      <w:r>
        <w:rPr>
          <w:color w:val="auto"/>
          <w:position w:val="-24"/>
          <w:szCs w:val="21"/>
          <w:highlight w:val="none"/>
        </w:rPr>
        <w:object>
          <v:shape id="_x0000_i1055" o:spt="75" type="#_x0000_t75" style="height:31.15pt;width:54.5pt;" o:ole="t" filled="f" o:preferrelative="t" stroked="f" coordsize="21600,21600">
            <v:path/>
            <v:fill on="f" focussize="0,0"/>
            <v:stroke on="f" joinstyle="miter"/>
            <v:imagedata r:id="rId81" o:title=""/>
            <o:lock v:ext="edit" aspectratio="t"/>
            <w10:wrap type="none"/>
            <w10:anchorlock/>
          </v:shape>
          <o:OLEObject Type="Embed" ProgID="Equation.DSMT4" ShapeID="_x0000_i1055" DrawAspect="Content" ObjectID="_1468075755" r:id="rId80">
            <o:LockedField>false</o:LockedField>
          </o:OLEObject>
        </w:object>
      </w:r>
      <w:r>
        <w:rPr>
          <w:rFonts w:hint="eastAsia"/>
          <w:color w:val="auto"/>
          <w:szCs w:val="21"/>
          <w:highlight w:val="none"/>
        </w:rPr>
        <w:t xml:space="preserve">                             （6.5.4-1）</w:t>
      </w:r>
    </w:p>
    <w:p w14:paraId="686167CF">
      <w:pPr>
        <w:kinsoku/>
        <w:overflowPunct/>
        <w:bidi w:val="0"/>
        <w:spacing w:line="360" w:lineRule="auto"/>
        <w:rPr>
          <w:color w:val="auto"/>
          <w:highlight w:val="none"/>
        </w:rPr>
      </w:pPr>
      <w:r>
        <w:rPr>
          <w:rFonts w:hint="eastAsia"/>
          <w:color w:val="auto"/>
          <w:highlight w:val="none"/>
        </w:rPr>
        <w:t>式中：</w:t>
      </w:r>
      <w:r>
        <w:rPr>
          <w:rFonts w:hint="eastAsia"/>
          <w:i/>
          <w:iCs/>
          <w:color w:val="auto"/>
          <w:highlight w:val="none"/>
        </w:rPr>
        <w:t>f</w:t>
      </w:r>
      <w:r>
        <w:rPr>
          <w:rFonts w:hint="eastAsia"/>
          <w:color w:val="auto"/>
          <w:highlight w:val="none"/>
          <w:vertAlign w:val="subscript"/>
        </w:rPr>
        <w:t>f</w:t>
      </w:r>
      <w:r>
        <w:rPr>
          <w:rFonts w:hint="eastAsia"/>
          <w:color w:val="auto"/>
          <w:highlight w:val="none"/>
        </w:rPr>
        <w:t>——超高性能混凝土抗折强度（MPa），计算结果应精确至0.1MPa；</w:t>
      </w:r>
    </w:p>
    <w:p w14:paraId="7BD86289">
      <w:pPr>
        <w:kinsoku/>
        <w:overflowPunct/>
        <w:bidi w:val="0"/>
        <w:spacing w:line="360" w:lineRule="auto"/>
        <w:ind w:firstLine="420" w:firstLineChars="200"/>
        <w:rPr>
          <w:i/>
          <w:iCs/>
          <w:color w:val="auto"/>
          <w:highlight w:val="none"/>
        </w:rPr>
      </w:pPr>
      <w:r>
        <w:rPr>
          <w:rFonts w:hint="eastAsia"/>
          <w:i/>
          <w:iCs/>
          <w:color w:val="auto"/>
          <w:highlight w:val="none"/>
        </w:rPr>
        <w:t>F</w:t>
      </w:r>
      <w:r>
        <w:rPr>
          <w:rFonts w:hint="eastAsia"/>
          <w:color w:val="auto"/>
          <w:highlight w:val="none"/>
          <w:vertAlign w:val="subscript"/>
        </w:rPr>
        <w:t>max</w:t>
      </w:r>
      <w:r>
        <w:rPr>
          <w:rFonts w:hint="eastAsia"/>
          <w:color w:val="auto"/>
          <w:highlight w:val="none"/>
        </w:rPr>
        <w:t>——抗折试验过程中的最大荷载（N）；</w:t>
      </w:r>
    </w:p>
    <w:p w14:paraId="37492904">
      <w:pPr>
        <w:kinsoku/>
        <w:overflowPunct/>
        <w:bidi w:val="0"/>
        <w:spacing w:line="360" w:lineRule="auto"/>
        <w:ind w:firstLine="630" w:firstLineChars="300"/>
        <w:rPr>
          <w:color w:val="auto"/>
          <w:highlight w:val="none"/>
        </w:rPr>
      </w:pPr>
      <w:r>
        <w:rPr>
          <w:rFonts w:hint="eastAsia"/>
          <w:i/>
          <w:iCs/>
          <w:color w:val="auto"/>
          <w:highlight w:val="none"/>
        </w:rPr>
        <w:t>L</w:t>
      </w:r>
      <w:r>
        <w:rPr>
          <w:rFonts w:hint="eastAsia"/>
          <w:color w:val="auto"/>
          <w:highlight w:val="none"/>
        </w:rPr>
        <w:t>——试验梁支座间的跨距（mm）；</w:t>
      </w:r>
    </w:p>
    <w:p w14:paraId="0CB7530D">
      <w:pPr>
        <w:kinsoku/>
        <w:overflowPunct/>
        <w:bidi w:val="0"/>
        <w:spacing w:line="360" w:lineRule="auto"/>
        <w:ind w:firstLine="630" w:firstLineChars="300"/>
        <w:rPr>
          <w:i/>
          <w:iCs/>
          <w:color w:val="auto"/>
          <w:highlight w:val="none"/>
        </w:rPr>
      </w:pPr>
      <w:r>
        <w:rPr>
          <w:rFonts w:hint="eastAsia"/>
          <w:i/>
          <w:iCs/>
          <w:color w:val="auto"/>
          <w:highlight w:val="none"/>
        </w:rPr>
        <w:t>b</w:t>
      </w:r>
      <w:r>
        <w:rPr>
          <w:rFonts w:hint="eastAsia"/>
          <w:color w:val="auto"/>
          <w:highlight w:val="none"/>
        </w:rPr>
        <w:t>——试件截面的宽度（mm）；</w:t>
      </w:r>
    </w:p>
    <w:p w14:paraId="6FF9CFF8">
      <w:pPr>
        <w:kinsoku/>
        <w:overflowPunct/>
        <w:bidi w:val="0"/>
        <w:spacing w:line="360" w:lineRule="auto"/>
        <w:ind w:firstLine="630" w:firstLineChars="300"/>
        <w:rPr>
          <w:color w:val="auto"/>
          <w:highlight w:val="none"/>
        </w:rPr>
      </w:pPr>
      <w:r>
        <w:rPr>
          <w:rFonts w:hint="eastAsia"/>
          <w:i/>
          <w:iCs/>
          <w:color w:val="auto"/>
          <w:highlight w:val="none"/>
        </w:rPr>
        <w:t>h</w:t>
      </w:r>
      <w:r>
        <w:rPr>
          <w:rFonts w:hint="eastAsia"/>
          <w:color w:val="auto"/>
          <w:highlight w:val="none"/>
        </w:rPr>
        <w:t>——试件截面的高度（mm）。</w:t>
      </w:r>
    </w:p>
    <w:p w14:paraId="5DAC4A6A">
      <w:pPr>
        <w:kinsoku/>
        <w:overflowPunct/>
        <w:bidi w:val="0"/>
        <w:spacing w:before="156" w:beforeLines="50" w:line="360" w:lineRule="auto"/>
        <w:ind w:firstLine="525" w:firstLineChars="250"/>
        <w:rPr>
          <w:color w:val="auto"/>
          <w:highlight w:val="none"/>
        </w:rPr>
      </w:pPr>
      <w:r>
        <w:rPr>
          <w:rFonts w:hint="eastAsia"/>
          <w:color w:val="auto"/>
          <w:highlight w:val="none"/>
        </w:rPr>
        <w:t>2）抗折强度值的确定应符合下列规定：</w:t>
      </w:r>
    </w:p>
    <w:p w14:paraId="35AF9EF2">
      <w:pPr>
        <w:widowControl/>
        <w:kinsoku/>
        <w:overflowPunct/>
        <w:bidi w:val="0"/>
        <w:spacing w:before="50" w:line="360" w:lineRule="auto"/>
        <w:ind w:left="735" w:leftChars="300" w:hanging="105" w:hangingChars="50"/>
        <w:jc w:val="left"/>
        <w:rPr>
          <w:color w:val="auto"/>
          <w:highlight w:val="none"/>
        </w:rPr>
      </w:pPr>
      <w:r>
        <w:rPr>
          <w:rFonts w:hint="eastAsia"/>
          <w:color w:val="auto"/>
          <w:highlight w:val="none"/>
        </w:rPr>
        <w:t>①取3个试件测值的算术平均值作为该组试件的抗折强度值，应精确至0.1MPa；</w:t>
      </w:r>
    </w:p>
    <w:p w14:paraId="2D718CF9">
      <w:pPr>
        <w:widowControl/>
        <w:kinsoku/>
        <w:overflowPunct/>
        <w:bidi w:val="0"/>
        <w:spacing w:before="50" w:line="360" w:lineRule="auto"/>
        <w:ind w:left="735" w:leftChars="300" w:hanging="105" w:hangingChars="50"/>
        <w:rPr>
          <w:color w:val="auto"/>
          <w:highlight w:val="none"/>
        </w:rPr>
      </w:pPr>
      <w:r>
        <w:rPr>
          <w:rFonts w:hint="eastAsia"/>
          <w:color w:val="auto"/>
          <w:highlight w:val="none"/>
        </w:rPr>
        <w:t>②3个测值中的最大值或最小值中当有一个与中间值的差值超过中间值的15%时，应把最大值和最小值一并舍除，取中间值作为该组试件的抗折强度值；</w:t>
      </w:r>
    </w:p>
    <w:p w14:paraId="7839E4E0">
      <w:pPr>
        <w:widowControl/>
        <w:kinsoku/>
        <w:overflowPunct/>
        <w:bidi w:val="0"/>
        <w:spacing w:before="50" w:line="360" w:lineRule="auto"/>
        <w:ind w:left="420" w:firstLine="210" w:firstLineChars="100"/>
        <w:jc w:val="left"/>
        <w:rPr>
          <w:color w:val="auto"/>
          <w:highlight w:val="none"/>
        </w:rPr>
      </w:pPr>
      <w:r>
        <w:rPr>
          <w:rFonts w:hint="eastAsia"/>
          <w:color w:val="auto"/>
          <w:highlight w:val="none"/>
        </w:rPr>
        <w:t>③当最大值和最小值与中间值的差值均超过中间值的15%时，该组试件的试验结果无效。</w:t>
      </w:r>
    </w:p>
    <w:p w14:paraId="600E5CF5">
      <w:pPr>
        <w:kinsoku/>
        <w:overflowPunct/>
        <w:bidi w:val="0"/>
        <w:spacing w:before="156" w:beforeLines="50" w:line="360" w:lineRule="auto"/>
        <w:ind w:firstLine="525" w:firstLineChars="250"/>
        <w:rPr>
          <w:rFonts w:hint="eastAsia"/>
          <w:color w:val="auto"/>
          <w:highlight w:val="none"/>
        </w:rPr>
      </w:pPr>
      <w:r>
        <w:rPr>
          <w:rFonts w:hint="eastAsia"/>
          <w:color w:val="auto"/>
          <w:highlight w:val="none"/>
        </w:rPr>
        <w:t>3）</w:t>
      </w:r>
      <w:r>
        <w:rPr>
          <w:color w:val="auto"/>
          <w:highlight w:val="none"/>
        </w:rPr>
        <w:t>3</w:t>
      </w:r>
      <w:r>
        <w:rPr>
          <w:rFonts w:hint="eastAsia"/>
          <w:color w:val="auto"/>
          <w:highlight w:val="none"/>
        </w:rPr>
        <w:t>个试件中有一个折断面位于两个集中荷载之外时</w:t>
      </w:r>
      <w:r>
        <w:rPr>
          <w:rFonts w:hint="eastAsia"/>
          <w:strike w:val="0"/>
          <w:color w:val="auto"/>
          <w:szCs w:val="21"/>
          <w:highlight w:val="none"/>
          <w:lang w:val="nb-NO"/>
        </w:rPr>
        <w:t>，</w:t>
      </w:r>
      <w:r>
        <w:rPr>
          <w:rFonts w:hint="eastAsia"/>
          <w:strike w:val="0"/>
          <w:color w:val="auto"/>
          <w:szCs w:val="21"/>
          <w:highlight w:val="none"/>
          <w:lang w:val="nb-NO" w:eastAsia="zh"/>
          <w:woUserID w:val="3"/>
        </w:rPr>
        <w:t>或</w:t>
      </w:r>
      <w:r>
        <w:rPr>
          <w:rFonts w:hint="eastAsia"/>
          <w:strike w:val="0"/>
          <w:color w:val="auto"/>
          <w:szCs w:val="21"/>
          <w:highlight w:val="none"/>
          <w:lang w:val="nb-NO"/>
        </w:rPr>
        <w:t>试件为无效试件时</w:t>
      </w:r>
      <w:r>
        <w:rPr>
          <w:rFonts w:hint="eastAsia"/>
          <w:color w:val="auto"/>
          <w:highlight w:val="none"/>
        </w:rPr>
        <w:t>，超高性能混凝土抗折强度值应</w:t>
      </w:r>
      <w:r>
        <w:rPr>
          <w:rFonts w:hint="eastAsia"/>
          <w:color w:val="auto"/>
          <w:highlight w:val="none"/>
          <w:lang w:eastAsia="zh"/>
          <w:woUserID w:val="3"/>
        </w:rPr>
        <w:t>以</w:t>
      </w:r>
      <w:r>
        <w:rPr>
          <w:rFonts w:hint="eastAsia"/>
          <w:color w:val="auto"/>
          <w:highlight w:val="none"/>
        </w:rPr>
        <w:t>另外两个试件的试验结果计算</w:t>
      </w:r>
      <w:r>
        <w:rPr>
          <w:rFonts w:hint="eastAsia"/>
          <w:color w:val="auto"/>
          <w:highlight w:val="none"/>
          <w:lang w:eastAsia="zh"/>
          <w:woUserID w:val="3"/>
        </w:rPr>
        <w:t>：</w:t>
      </w:r>
      <w:r>
        <w:rPr>
          <w:rFonts w:hint="eastAsia"/>
          <w:color w:val="auto"/>
          <w:highlight w:val="none"/>
        </w:rPr>
        <w:t>当这两个测值的差值不大于这两个测值的较小值的</w:t>
      </w:r>
      <w:r>
        <w:rPr>
          <w:color w:val="auto"/>
          <w:highlight w:val="none"/>
        </w:rPr>
        <w:t>15%</w:t>
      </w:r>
      <w:r>
        <w:rPr>
          <w:rFonts w:hint="eastAsia"/>
          <w:color w:val="auto"/>
          <w:highlight w:val="none"/>
        </w:rPr>
        <w:t>时，该组试件的抗折强度值应按这两个测值的平均值计算，否则该组试件的试验结果无效。当有两个试件的下表缘断裂位置位于两个集中荷载作用线之外时，</w:t>
      </w:r>
      <w:r>
        <w:rPr>
          <w:rFonts w:hint="eastAsia"/>
          <w:strike w:val="0"/>
          <w:color w:val="auto"/>
          <w:szCs w:val="21"/>
          <w:highlight w:val="none"/>
          <w:lang w:val="nb-NO"/>
        </w:rPr>
        <w:t>或两个以上试件为无效试件时，</w:t>
      </w:r>
      <w:r>
        <w:rPr>
          <w:rFonts w:hint="eastAsia"/>
          <w:color w:val="auto"/>
          <w:highlight w:val="none"/>
        </w:rPr>
        <w:t>该组试件试验无效。</w:t>
      </w:r>
    </w:p>
    <w:p w14:paraId="3FA00715">
      <w:pPr>
        <w:kinsoku/>
        <w:overflowPunct/>
        <w:bidi w:val="0"/>
        <w:spacing w:before="156" w:beforeLines="50" w:line="360" w:lineRule="auto"/>
        <w:rPr>
          <w:color w:val="auto"/>
          <w:highlight w:val="none"/>
          <w:woUserID w:val="3"/>
        </w:rPr>
      </w:pPr>
      <w:r>
        <w:rPr>
          <w:rFonts w:hint="eastAsia"/>
          <w:color w:val="auto"/>
          <w:highlight w:val="none"/>
          <w:woUserID w:val="3"/>
        </w:rPr>
        <w:t>6.5</w:t>
      </w:r>
      <w:r>
        <w:rPr>
          <w:color w:val="auto"/>
          <w:highlight w:val="none"/>
          <w:woUserID w:val="3"/>
        </w:rPr>
        <w:t>.</w:t>
      </w:r>
      <w:r>
        <w:rPr>
          <w:rFonts w:hint="eastAsia"/>
          <w:color w:val="auto"/>
          <w:highlight w:val="none"/>
          <w:lang w:eastAsia="zh"/>
          <w:woUserID w:val="3"/>
        </w:rPr>
        <w:t>5</w:t>
      </w:r>
      <w:r>
        <w:rPr>
          <w:rFonts w:hint="eastAsia"/>
          <w:color w:val="auto"/>
          <w:highlight w:val="none"/>
          <w:woUserID w:val="3"/>
        </w:rPr>
        <w:t xml:space="preserve"> 超高性能混凝土弯曲韧性试验结果计算及确定应按下列方法进行。</w:t>
      </w:r>
    </w:p>
    <w:p w14:paraId="22111F50">
      <w:pPr>
        <w:kinsoku/>
        <w:overflowPunct/>
        <w:bidi w:val="0"/>
        <w:spacing w:before="156" w:beforeLines="50" w:line="360" w:lineRule="auto"/>
        <w:ind w:firstLine="315" w:firstLineChars="150"/>
        <w:rPr>
          <w:color w:val="auto"/>
          <w:highlight w:val="none"/>
        </w:rPr>
      </w:pPr>
      <w:r>
        <w:rPr>
          <w:rFonts w:hint="eastAsia"/>
          <w:color w:val="auto"/>
          <w:highlight w:val="none"/>
          <w:lang w:eastAsia="zh"/>
          <w:woUserID w:val="3"/>
        </w:rPr>
        <w:t>1</w:t>
      </w:r>
      <w:r>
        <w:rPr>
          <w:rFonts w:hint="eastAsia"/>
          <w:color w:val="auto"/>
          <w:highlight w:val="none"/>
        </w:rPr>
        <w:t xml:space="preserve"> 抗弯初裂强度</w:t>
      </w:r>
      <w:r>
        <w:rPr>
          <w:color w:val="auto"/>
          <w:highlight w:val="none"/>
        </w:rPr>
        <w:t>试验结果计算及确定按下列方法进行</w:t>
      </w:r>
      <w:r>
        <w:rPr>
          <w:rFonts w:hint="eastAsia"/>
          <w:color w:val="auto"/>
          <w:highlight w:val="none"/>
        </w:rPr>
        <w:t>：</w:t>
      </w:r>
    </w:p>
    <w:p w14:paraId="0EAC7A2B">
      <w:pPr>
        <w:kinsoku/>
        <w:overflowPunct/>
        <w:bidi w:val="0"/>
        <w:spacing w:before="156" w:beforeLines="50" w:line="360" w:lineRule="auto"/>
        <w:ind w:firstLine="525" w:firstLineChars="250"/>
        <w:rPr>
          <w:i/>
          <w:iCs/>
          <w:color w:val="auto"/>
          <w:highlight w:val="none"/>
        </w:rPr>
      </w:pPr>
      <w:r>
        <w:rPr>
          <w:rFonts w:hint="eastAsia"/>
          <w:color w:val="auto"/>
          <w:highlight w:val="none"/>
        </w:rPr>
        <w:t>1）将直尺</w:t>
      </w:r>
      <w:r>
        <w:rPr>
          <w:rFonts w:hint="eastAsia"/>
          <w:color w:val="auto"/>
          <w:highlight w:val="none"/>
          <w:lang w:eastAsia="zh"/>
          <w:woUserID w:val="3"/>
        </w:rPr>
        <w:t>或使用科学绘图软件绘制的直线</w:t>
      </w:r>
      <w:r>
        <w:rPr>
          <w:rFonts w:hint="eastAsia"/>
          <w:color w:val="auto"/>
          <w:highlight w:val="none"/>
        </w:rPr>
        <w:t>与荷载—挠度曲线的线性部分重叠放置确定初裂点</w:t>
      </w:r>
      <w:r>
        <w:rPr>
          <w:i/>
          <w:iCs/>
          <w:color w:val="auto"/>
          <w:highlight w:val="none"/>
        </w:rPr>
        <w:t>A</w:t>
      </w:r>
      <w:r>
        <w:rPr>
          <w:rFonts w:hint="eastAsia"/>
          <w:color w:val="auto"/>
          <w:highlight w:val="none"/>
        </w:rPr>
        <w:t>（图6.5.</w:t>
      </w:r>
      <w:r>
        <w:rPr>
          <w:rFonts w:hint="eastAsia"/>
          <w:color w:val="auto"/>
          <w:highlight w:val="none"/>
          <w:lang w:eastAsia="zh"/>
          <w:woUserID w:val="3"/>
        </w:rPr>
        <w:t>5</w:t>
      </w:r>
      <w:r>
        <w:rPr>
          <w:rFonts w:hint="eastAsia"/>
          <w:color w:val="auto"/>
          <w:highlight w:val="none"/>
        </w:rPr>
        <w:t>-1）。</w:t>
      </w:r>
      <w:r>
        <w:rPr>
          <w:i/>
          <w:iCs/>
          <w:color w:val="auto"/>
          <w:highlight w:val="none"/>
        </w:rPr>
        <w:t>A</w:t>
      </w:r>
      <w:r>
        <w:rPr>
          <w:rFonts w:hint="eastAsia"/>
          <w:color w:val="auto"/>
          <w:highlight w:val="none"/>
        </w:rPr>
        <w:t>点的纵坐标为初裂荷载</w:t>
      </w:r>
      <w:r>
        <w:rPr>
          <w:rFonts w:hint="eastAsia"/>
          <w:i/>
          <w:iCs/>
          <w:color w:val="auto"/>
          <w:highlight w:val="none"/>
        </w:rPr>
        <w:t>F</w:t>
      </w:r>
      <w:r>
        <w:rPr>
          <w:rFonts w:hint="eastAsia"/>
          <w:color w:val="auto"/>
          <w:highlight w:val="none"/>
          <w:vertAlign w:val="subscript"/>
        </w:rPr>
        <w:t>cr</w:t>
      </w:r>
      <w:r>
        <w:rPr>
          <w:rFonts w:hint="eastAsia"/>
          <w:color w:val="auto"/>
          <w:highlight w:val="none"/>
        </w:rPr>
        <w:t>（N）。如果初裂前载荷—挠度曲线凹面朝上，则将直尺与跨中挠度轴线交点</w:t>
      </w:r>
      <w:r>
        <w:rPr>
          <w:i/>
          <w:iCs/>
          <w:color w:val="auto"/>
          <w:highlight w:val="none"/>
        </w:rPr>
        <w:t>O</w:t>
      </w:r>
      <w:r>
        <w:rPr>
          <w:color w:val="auto"/>
          <w:highlight w:val="none"/>
          <w:vertAlign w:val="superscript"/>
        </w:rPr>
        <w:t>’</w:t>
      </w:r>
      <w:r>
        <w:rPr>
          <w:rFonts w:hint="eastAsia"/>
          <w:color w:val="auto"/>
          <w:highlight w:val="none"/>
        </w:rPr>
        <w:t>作为新原点（图</w:t>
      </w:r>
      <w:r>
        <w:rPr>
          <w:color w:val="auto"/>
          <w:highlight w:val="none"/>
        </w:rPr>
        <w:t>6.5.</w:t>
      </w:r>
      <w:r>
        <w:rPr>
          <w:rFonts w:hint="eastAsia"/>
          <w:color w:val="auto"/>
          <w:highlight w:val="none"/>
          <w:lang w:eastAsia="zh"/>
          <w:woUserID w:val="3"/>
        </w:rPr>
        <w:t>5</w:t>
      </w:r>
      <w:r>
        <w:rPr>
          <w:color w:val="auto"/>
          <w:highlight w:val="none"/>
        </w:rPr>
        <w:t>-1</w:t>
      </w:r>
      <w:r>
        <w:rPr>
          <w:rFonts w:hint="eastAsia"/>
          <w:color w:val="auto"/>
          <w:highlight w:val="none"/>
        </w:rPr>
        <w:t>），</w:t>
      </w:r>
      <w:r>
        <w:rPr>
          <w:rFonts w:hint="eastAsia"/>
          <w:i/>
          <w:iCs/>
          <w:color w:val="auto"/>
          <w:highlight w:val="none"/>
        </w:rPr>
        <w:t>O</w:t>
      </w:r>
      <w:r>
        <w:rPr>
          <w:color w:val="auto"/>
          <w:highlight w:val="none"/>
          <w:vertAlign w:val="superscript"/>
        </w:rPr>
        <w:t>’</w:t>
      </w:r>
      <w:r>
        <w:rPr>
          <w:rFonts w:hint="eastAsia"/>
          <w:i/>
          <w:iCs/>
          <w:color w:val="auto"/>
          <w:highlight w:val="none"/>
        </w:rPr>
        <w:t>B</w:t>
      </w:r>
      <w:r>
        <w:rPr>
          <w:rFonts w:hint="eastAsia"/>
          <w:color w:val="auto"/>
          <w:highlight w:val="none"/>
        </w:rPr>
        <w:t>的长度为初裂挠度</w:t>
      </w:r>
      <w:r>
        <w:rPr>
          <w:i/>
          <w:iCs/>
          <w:color w:val="auto"/>
          <w:highlight w:val="none"/>
        </w:rPr>
        <w:t>δ</w:t>
      </w:r>
      <w:r>
        <w:rPr>
          <w:color w:val="auto"/>
          <w:highlight w:val="none"/>
        </w:rPr>
        <w:t>cr</w:t>
      </w:r>
      <w:r>
        <w:rPr>
          <w:rFonts w:hint="eastAsia"/>
          <w:color w:val="auto"/>
          <w:highlight w:val="none"/>
        </w:rPr>
        <w:t>（</w:t>
      </w:r>
      <w:r>
        <w:rPr>
          <w:color w:val="auto"/>
          <w:highlight w:val="none"/>
        </w:rPr>
        <w:t>mm</w:t>
      </w:r>
      <w:r>
        <w:rPr>
          <w:rFonts w:hint="eastAsia"/>
          <w:color w:val="auto"/>
          <w:highlight w:val="none"/>
        </w:rPr>
        <w:t>），线段</w:t>
      </w:r>
      <w:r>
        <w:rPr>
          <w:rFonts w:hint="eastAsia"/>
          <w:i/>
          <w:iCs/>
          <w:color w:val="auto"/>
          <w:highlight w:val="none"/>
        </w:rPr>
        <w:t>O</w:t>
      </w:r>
      <w:r>
        <w:rPr>
          <w:color w:val="auto"/>
          <w:highlight w:val="none"/>
          <w:vertAlign w:val="superscript"/>
        </w:rPr>
        <w:t>’</w:t>
      </w:r>
      <w:r>
        <w:rPr>
          <w:i/>
          <w:iCs/>
          <w:color w:val="auto"/>
          <w:highlight w:val="none"/>
        </w:rPr>
        <w:t>A</w:t>
      </w:r>
      <w:r>
        <w:rPr>
          <w:rFonts w:hint="eastAsia"/>
          <w:color w:val="auto"/>
          <w:highlight w:val="none"/>
        </w:rPr>
        <w:t>作为后续计算基础；如果初裂前载荷—挠度曲线凸面朝上，</w:t>
      </w:r>
      <w:r>
        <w:rPr>
          <w:rFonts w:hint="eastAsia"/>
          <w:i/>
          <w:iCs/>
          <w:color w:val="auto"/>
          <w:highlight w:val="none"/>
        </w:rPr>
        <w:t>A</w:t>
      </w:r>
      <w:r>
        <w:rPr>
          <w:rFonts w:hint="eastAsia"/>
          <w:color w:val="auto"/>
          <w:highlight w:val="none"/>
        </w:rPr>
        <w:t>点的纵坐标为初裂荷载</w:t>
      </w:r>
      <w:r>
        <w:rPr>
          <w:rFonts w:hint="eastAsia"/>
          <w:i/>
          <w:iCs/>
          <w:color w:val="auto"/>
          <w:highlight w:val="none"/>
        </w:rPr>
        <w:t>F</w:t>
      </w:r>
      <w:r>
        <w:rPr>
          <w:rFonts w:hint="eastAsia"/>
          <w:color w:val="auto"/>
          <w:highlight w:val="none"/>
          <w:vertAlign w:val="subscript"/>
        </w:rPr>
        <w:t>cr</w:t>
      </w:r>
      <w:r>
        <w:rPr>
          <w:rFonts w:hint="eastAsia"/>
          <w:color w:val="auto"/>
          <w:highlight w:val="none"/>
        </w:rPr>
        <w:t>（N），横坐标为初裂挠度</w:t>
      </w:r>
      <w:r>
        <w:rPr>
          <w:i/>
          <w:iCs/>
          <w:color w:val="auto"/>
          <w:highlight w:val="none"/>
        </w:rPr>
        <w:t>δ</w:t>
      </w:r>
      <w:r>
        <w:rPr>
          <w:color w:val="auto"/>
          <w:highlight w:val="none"/>
        </w:rPr>
        <w:t>cr</w:t>
      </w:r>
      <w:r>
        <w:rPr>
          <w:rFonts w:hint="eastAsia"/>
          <w:color w:val="auto"/>
          <w:highlight w:val="none"/>
        </w:rPr>
        <w:t>（</w:t>
      </w:r>
      <w:r>
        <w:rPr>
          <w:color w:val="auto"/>
          <w:highlight w:val="none"/>
        </w:rPr>
        <w:t>mm</w:t>
      </w:r>
      <w:r>
        <w:rPr>
          <w:rFonts w:hint="eastAsia"/>
          <w:color w:val="auto"/>
          <w:highlight w:val="none"/>
        </w:rPr>
        <w:t>），线段</w:t>
      </w:r>
      <w:r>
        <w:rPr>
          <w:rFonts w:hint="eastAsia"/>
          <w:i/>
          <w:iCs/>
          <w:color w:val="auto"/>
          <w:highlight w:val="none"/>
        </w:rPr>
        <w:t>O</w:t>
      </w:r>
      <w:r>
        <w:rPr>
          <w:color w:val="auto"/>
          <w:highlight w:val="none"/>
          <w:vertAlign w:val="superscript"/>
        </w:rPr>
        <w:t>’</w:t>
      </w:r>
      <w:r>
        <w:rPr>
          <w:rFonts w:hint="eastAsia"/>
          <w:i/>
          <w:iCs/>
          <w:color w:val="auto"/>
          <w:highlight w:val="none"/>
        </w:rPr>
        <w:t>A</w:t>
      </w:r>
      <w:r>
        <w:rPr>
          <w:rFonts w:hint="eastAsia"/>
          <w:color w:val="auto"/>
          <w:highlight w:val="none"/>
        </w:rPr>
        <w:t>作为后续计算基础。</w:t>
      </w:r>
    </w:p>
    <w:p w14:paraId="1B4EEF80">
      <w:pPr>
        <w:kinsoku/>
        <w:overflowPunct/>
        <w:bidi w:val="0"/>
        <w:spacing w:before="156" w:beforeLines="50" w:line="360" w:lineRule="auto"/>
        <w:jc w:val="center"/>
        <w:rPr>
          <w:color w:val="auto"/>
          <w:highlight w:val="none"/>
        </w:rPr>
      </w:pPr>
      <w:r>
        <w:rPr>
          <w:color w:val="auto"/>
          <w:highlight w:val="none"/>
        </w:rPr>
        <w:drawing>
          <wp:inline distT="0" distB="0" distL="0" distR="0">
            <wp:extent cx="2945130" cy="1506855"/>
            <wp:effectExtent l="0" t="0" r="7620" b="0"/>
            <wp:docPr id="88301803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18035" name="图片 52"/>
                    <pic:cNvPicPr>
                      <a:picLocks noChangeAspect="1" noChangeArrowheads="1"/>
                    </pic:cNvPicPr>
                  </pic:nvPicPr>
                  <pic:blipFill>
                    <a:blip r:embed="rId82" cstate="print">
                      <a:extLst>
                        <a:ext uri="{28A0092B-C50C-407E-A947-70E740481C1C}">
                          <a14:useLocalDpi xmlns:a14="http://schemas.microsoft.com/office/drawing/2010/main" val="0"/>
                        </a:ext>
                      </a:extLst>
                    </a:blip>
                    <a:srcRect l="10762" t="1134" r="2571" b="6436"/>
                    <a:stretch>
                      <a:fillRect/>
                    </a:stretch>
                  </pic:blipFill>
                  <pic:spPr>
                    <a:xfrm>
                      <a:off x="0" y="0"/>
                      <a:ext cx="2963977" cy="1517068"/>
                    </a:xfrm>
                    <a:prstGeom prst="rect">
                      <a:avLst/>
                    </a:prstGeom>
                    <a:noFill/>
                    <a:ln>
                      <a:noFill/>
                    </a:ln>
                  </pic:spPr>
                </pic:pic>
              </a:graphicData>
            </a:graphic>
          </wp:inline>
        </w:drawing>
      </w:r>
      <w:r>
        <w:rPr>
          <w:color w:val="auto"/>
          <w:highlight w:val="none"/>
        </w:rPr>
        <w:drawing>
          <wp:inline distT="0" distB="0" distL="0" distR="0">
            <wp:extent cx="2962275" cy="1508125"/>
            <wp:effectExtent l="0" t="0" r="9525" b="0"/>
            <wp:docPr id="5225257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2579" name="图片 55"/>
                    <pic:cNvPicPr>
                      <a:picLocks noChangeAspect="1" noChangeArrowheads="1"/>
                    </pic:cNvPicPr>
                  </pic:nvPicPr>
                  <pic:blipFill>
                    <a:blip r:embed="rId83" cstate="print">
                      <a:extLst>
                        <a:ext uri="{28A0092B-C50C-407E-A947-70E740481C1C}">
                          <a14:useLocalDpi xmlns:a14="http://schemas.microsoft.com/office/drawing/2010/main" val="0"/>
                        </a:ext>
                      </a:extLst>
                    </a:blip>
                    <a:srcRect l="10623" t="2540" r="3281" b="5978"/>
                    <a:stretch>
                      <a:fillRect/>
                    </a:stretch>
                  </pic:blipFill>
                  <pic:spPr>
                    <a:xfrm>
                      <a:off x="0" y="0"/>
                      <a:ext cx="2990716" cy="1522563"/>
                    </a:xfrm>
                    <a:prstGeom prst="rect">
                      <a:avLst/>
                    </a:prstGeom>
                    <a:noFill/>
                    <a:ln>
                      <a:noFill/>
                    </a:ln>
                  </pic:spPr>
                </pic:pic>
              </a:graphicData>
            </a:graphic>
          </wp:inline>
        </w:drawing>
      </w:r>
    </w:p>
    <w:p w14:paraId="79698C94">
      <w:pPr>
        <w:kinsoku/>
        <w:overflowPunct/>
        <w:bidi w:val="0"/>
        <w:spacing w:before="156" w:beforeLines="50" w:line="360" w:lineRule="auto"/>
        <w:jc w:val="center"/>
        <w:rPr>
          <w:color w:val="auto"/>
          <w:highlight w:val="none"/>
        </w:rPr>
      </w:pPr>
      <w:r>
        <w:rPr>
          <w:rFonts w:hint="eastAsia"/>
          <w:color w:val="auto"/>
          <w:highlight w:val="none"/>
        </w:rPr>
        <w:t>（</w:t>
      </w:r>
      <w:r>
        <w:rPr>
          <w:color w:val="auto"/>
          <w:highlight w:val="none"/>
        </w:rPr>
        <w:t>a</w:t>
      </w:r>
      <w:r>
        <w:rPr>
          <w:rFonts w:hint="eastAsia"/>
          <w:color w:val="auto"/>
          <w:highlight w:val="none"/>
        </w:rPr>
        <w:t>）初裂前曲线凹面朝上</w:t>
      </w:r>
      <w:r>
        <w:rPr>
          <w:color w:val="auto"/>
          <w:highlight w:val="none"/>
        </w:rPr>
        <w:t xml:space="preserve">                          </w:t>
      </w:r>
      <w:r>
        <w:rPr>
          <w:rFonts w:hint="eastAsia"/>
          <w:color w:val="auto"/>
          <w:highlight w:val="none"/>
        </w:rPr>
        <w:t>（</w:t>
      </w:r>
      <w:r>
        <w:rPr>
          <w:color w:val="auto"/>
          <w:highlight w:val="none"/>
        </w:rPr>
        <w:t>b</w:t>
      </w:r>
      <w:r>
        <w:rPr>
          <w:rFonts w:hint="eastAsia"/>
          <w:color w:val="auto"/>
          <w:highlight w:val="none"/>
        </w:rPr>
        <w:t>）初裂前曲线凸面朝上</w:t>
      </w:r>
    </w:p>
    <w:p w14:paraId="68943AEB">
      <w:pPr>
        <w:kinsoku/>
        <w:overflowPunct/>
        <w:bidi w:val="0"/>
        <w:spacing w:before="156" w:beforeLines="50" w:line="360" w:lineRule="auto"/>
        <w:jc w:val="center"/>
        <w:rPr>
          <w:color w:val="auto"/>
          <w:highlight w:val="none"/>
        </w:rPr>
      </w:pPr>
      <w:r>
        <w:rPr>
          <w:rFonts w:hint="eastAsia"/>
          <w:color w:val="auto"/>
          <w:highlight w:val="none"/>
        </w:rPr>
        <w:t>图</w:t>
      </w:r>
      <w:r>
        <w:rPr>
          <w:color w:val="auto"/>
          <w:highlight w:val="none"/>
        </w:rPr>
        <w:t>6.5.</w:t>
      </w:r>
      <w:r>
        <w:rPr>
          <w:rFonts w:hint="eastAsia"/>
          <w:color w:val="auto"/>
          <w:highlight w:val="none"/>
          <w:lang w:eastAsia="zh"/>
          <w:woUserID w:val="3"/>
        </w:rPr>
        <w:t>5</w:t>
      </w:r>
      <w:r>
        <w:rPr>
          <w:color w:val="auto"/>
          <w:highlight w:val="none"/>
        </w:rPr>
        <w:t xml:space="preserve">-1 </w:t>
      </w:r>
      <w:r>
        <w:rPr>
          <w:rFonts w:hint="eastAsia"/>
          <w:color w:val="auto"/>
          <w:highlight w:val="none"/>
        </w:rPr>
        <w:t>弯曲韧性指数计算简图</w:t>
      </w:r>
    </w:p>
    <w:p w14:paraId="2384D02D">
      <w:pPr>
        <w:kinsoku/>
        <w:overflowPunct/>
        <w:bidi w:val="0"/>
        <w:spacing w:before="156" w:beforeLines="50" w:line="360" w:lineRule="auto"/>
        <w:ind w:firstLine="525" w:firstLineChars="250"/>
        <w:rPr>
          <w:color w:val="auto"/>
          <w:highlight w:val="none"/>
        </w:rPr>
      </w:pPr>
      <w:r>
        <w:rPr>
          <w:rFonts w:hint="eastAsia"/>
          <w:color w:val="auto"/>
          <w:highlight w:val="none"/>
        </w:rPr>
        <w:t>2）根据初裂荷载按下式计算抗弯初裂强度：</w:t>
      </w:r>
    </w:p>
    <w:p w14:paraId="307B7F59">
      <w:pPr>
        <w:widowControl/>
        <w:kinsoku/>
        <w:overflowPunct/>
        <w:bidi w:val="0"/>
        <w:spacing w:line="360" w:lineRule="auto"/>
        <w:ind w:left="420"/>
        <w:jc w:val="right"/>
        <w:rPr>
          <w:color w:val="auto"/>
          <w:highlight w:val="none"/>
        </w:rPr>
      </w:pPr>
      <w:r>
        <w:rPr>
          <w:color w:val="auto"/>
          <w:position w:val="-24"/>
          <w:szCs w:val="21"/>
          <w:highlight w:val="none"/>
        </w:rPr>
        <w:object>
          <v:shape id="_x0000_i1056" o:spt="75" type="#_x0000_t75" style="height:31.15pt;width:52.95pt;" o:ole="t" filled="f" o:preferrelative="t" stroked="f" coordsize="21600,21600">
            <v:path/>
            <v:fill on="f" focussize="0,0"/>
            <v:stroke on="f" joinstyle="miter"/>
            <v:imagedata r:id="rId85" o:title=""/>
            <o:lock v:ext="edit" aspectratio="t"/>
            <w10:wrap type="none"/>
            <w10:anchorlock/>
          </v:shape>
          <o:OLEObject Type="Embed" ProgID="Equation.3" ShapeID="_x0000_i1056" DrawAspect="Content" ObjectID="_1468075756" r:id="rId84">
            <o:LockedField>false</o:LockedField>
          </o:OLEObject>
        </w:object>
      </w:r>
      <w:r>
        <w:rPr>
          <w:rFonts w:hint="eastAsia"/>
          <w:color w:val="auto"/>
          <w:szCs w:val="21"/>
          <w:highlight w:val="none"/>
        </w:rPr>
        <w:t xml:space="preserve">                              （6.5.4-2）</w:t>
      </w:r>
    </w:p>
    <w:p w14:paraId="726C8089">
      <w:pPr>
        <w:kinsoku/>
        <w:overflowPunct/>
        <w:bidi w:val="0"/>
        <w:spacing w:line="360" w:lineRule="auto"/>
        <w:rPr>
          <w:color w:val="auto"/>
          <w:highlight w:val="none"/>
        </w:rPr>
      </w:pPr>
      <w:r>
        <w:rPr>
          <w:rFonts w:hint="eastAsia"/>
          <w:color w:val="auto"/>
          <w:highlight w:val="none"/>
        </w:rPr>
        <w:t>式中：</w:t>
      </w:r>
      <w:r>
        <w:rPr>
          <w:rFonts w:hint="eastAsia"/>
          <w:i/>
          <w:iCs/>
          <w:color w:val="auto"/>
          <w:highlight w:val="none"/>
        </w:rPr>
        <w:t>f</w:t>
      </w:r>
      <w:r>
        <w:rPr>
          <w:rFonts w:hint="eastAsia"/>
          <w:color w:val="auto"/>
          <w:highlight w:val="none"/>
          <w:vertAlign w:val="subscript"/>
        </w:rPr>
        <w:t>cr</w:t>
      </w:r>
      <w:r>
        <w:rPr>
          <w:rFonts w:hint="eastAsia"/>
          <w:color w:val="auto"/>
          <w:highlight w:val="none"/>
        </w:rPr>
        <w:t>——超高性能混凝土抗弯初裂强度（MPa），计算结果应精确至0.1MPa；</w:t>
      </w:r>
    </w:p>
    <w:p w14:paraId="478C0B7E">
      <w:pPr>
        <w:kinsoku/>
        <w:overflowPunct/>
        <w:bidi w:val="0"/>
        <w:spacing w:line="360" w:lineRule="auto"/>
        <w:ind w:firstLine="525" w:firstLineChars="250"/>
        <w:rPr>
          <w:i/>
          <w:iCs/>
          <w:color w:val="auto"/>
          <w:highlight w:val="none"/>
        </w:rPr>
      </w:pPr>
      <w:r>
        <w:rPr>
          <w:rFonts w:hint="eastAsia"/>
          <w:i/>
          <w:iCs/>
          <w:color w:val="auto"/>
          <w:highlight w:val="none"/>
        </w:rPr>
        <w:t>F</w:t>
      </w:r>
      <w:r>
        <w:rPr>
          <w:rFonts w:hint="eastAsia"/>
          <w:color w:val="auto"/>
          <w:highlight w:val="none"/>
          <w:vertAlign w:val="subscript"/>
        </w:rPr>
        <w:t>cr</w:t>
      </w:r>
      <w:r>
        <w:rPr>
          <w:rFonts w:hint="eastAsia"/>
          <w:color w:val="auto"/>
          <w:highlight w:val="none"/>
        </w:rPr>
        <w:t>——试件初裂荷载（N）；</w:t>
      </w:r>
    </w:p>
    <w:p w14:paraId="62A1C733">
      <w:pPr>
        <w:kinsoku/>
        <w:overflowPunct/>
        <w:bidi w:val="0"/>
        <w:spacing w:line="360" w:lineRule="auto"/>
        <w:ind w:firstLine="630" w:firstLineChars="300"/>
        <w:rPr>
          <w:color w:val="auto"/>
          <w:highlight w:val="none"/>
        </w:rPr>
      </w:pPr>
      <w:r>
        <w:rPr>
          <w:rFonts w:hint="eastAsia"/>
          <w:i/>
          <w:iCs/>
          <w:color w:val="auto"/>
          <w:highlight w:val="none"/>
        </w:rPr>
        <w:t>L</w:t>
      </w:r>
      <w:r>
        <w:rPr>
          <w:rFonts w:hint="eastAsia"/>
          <w:color w:val="auto"/>
          <w:highlight w:val="none"/>
        </w:rPr>
        <w:t>——试验梁支座间的跨距（mm）；</w:t>
      </w:r>
    </w:p>
    <w:p w14:paraId="7363D4FA">
      <w:pPr>
        <w:kinsoku/>
        <w:overflowPunct/>
        <w:bidi w:val="0"/>
        <w:spacing w:line="360" w:lineRule="auto"/>
        <w:ind w:firstLine="630" w:firstLineChars="300"/>
        <w:rPr>
          <w:i/>
          <w:iCs/>
          <w:color w:val="auto"/>
          <w:highlight w:val="none"/>
        </w:rPr>
      </w:pPr>
      <w:r>
        <w:rPr>
          <w:rFonts w:hint="eastAsia"/>
          <w:i/>
          <w:iCs/>
          <w:color w:val="auto"/>
          <w:highlight w:val="none"/>
        </w:rPr>
        <w:t>b</w:t>
      </w:r>
      <w:r>
        <w:rPr>
          <w:rFonts w:hint="eastAsia"/>
          <w:color w:val="auto"/>
          <w:highlight w:val="none"/>
        </w:rPr>
        <w:t>——试件截面的宽度（mm）；</w:t>
      </w:r>
    </w:p>
    <w:p w14:paraId="57EE78C6">
      <w:pPr>
        <w:kinsoku/>
        <w:overflowPunct/>
        <w:bidi w:val="0"/>
        <w:spacing w:line="360" w:lineRule="auto"/>
        <w:ind w:firstLine="630" w:firstLineChars="300"/>
        <w:rPr>
          <w:color w:val="auto"/>
          <w:highlight w:val="none"/>
        </w:rPr>
      </w:pPr>
      <w:r>
        <w:rPr>
          <w:rFonts w:hint="eastAsia"/>
          <w:i/>
          <w:iCs/>
          <w:color w:val="auto"/>
          <w:highlight w:val="none"/>
        </w:rPr>
        <w:t>h</w:t>
      </w:r>
      <w:r>
        <w:rPr>
          <w:rFonts w:hint="eastAsia"/>
          <w:color w:val="auto"/>
          <w:highlight w:val="none"/>
        </w:rPr>
        <w:t>——试件截面的高度（mm）。</w:t>
      </w:r>
    </w:p>
    <w:p w14:paraId="729C2ACE">
      <w:pPr>
        <w:kinsoku/>
        <w:overflowPunct/>
        <w:bidi w:val="0"/>
        <w:spacing w:before="156" w:beforeLines="50" w:line="360" w:lineRule="auto"/>
        <w:ind w:firstLine="525" w:firstLineChars="250"/>
        <w:rPr>
          <w:color w:val="auto"/>
          <w:highlight w:val="none"/>
        </w:rPr>
      </w:pPr>
      <w:r>
        <w:rPr>
          <w:rFonts w:hint="eastAsia"/>
          <w:color w:val="auto"/>
          <w:highlight w:val="none"/>
        </w:rPr>
        <w:t>3）抗弯初裂强度值的确定方法应符合本标准第6.5.</w:t>
      </w:r>
      <w:r>
        <w:rPr>
          <w:rFonts w:hint="eastAsia"/>
          <w:color w:val="auto"/>
          <w:highlight w:val="none"/>
          <w:lang w:eastAsia="zh"/>
          <w:woUserID w:val="3"/>
        </w:rPr>
        <w:t>4</w:t>
      </w:r>
      <w:r>
        <w:rPr>
          <w:rFonts w:hint="eastAsia"/>
          <w:color w:val="auto"/>
          <w:highlight w:val="none"/>
        </w:rPr>
        <w:t>条第1款的要求。</w:t>
      </w:r>
    </w:p>
    <w:p w14:paraId="6C2309BC">
      <w:pPr>
        <w:kinsoku/>
        <w:overflowPunct/>
        <w:bidi w:val="0"/>
        <w:spacing w:before="156" w:beforeLines="50" w:line="360" w:lineRule="auto"/>
        <w:ind w:firstLine="315" w:firstLineChars="150"/>
        <w:rPr>
          <w:color w:val="auto"/>
          <w:highlight w:val="none"/>
        </w:rPr>
      </w:pPr>
      <w:r>
        <w:rPr>
          <w:rFonts w:hint="eastAsia"/>
          <w:color w:val="auto"/>
          <w:highlight w:val="none"/>
          <w:lang w:eastAsia="zh"/>
          <w:woUserID w:val="3"/>
        </w:rPr>
        <w:t>2</w:t>
      </w:r>
      <w:r>
        <w:rPr>
          <w:rFonts w:hint="eastAsia"/>
          <w:color w:val="auto"/>
          <w:highlight w:val="none"/>
        </w:rPr>
        <w:t>弯曲韧性指数的</w:t>
      </w:r>
      <w:r>
        <w:rPr>
          <w:color w:val="auto"/>
          <w:highlight w:val="none"/>
        </w:rPr>
        <w:t>计算及确定按下列方法进行</w:t>
      </w:r>
      <w:r>
        <w:rPr>
          <w:rFonts w:hint="eastAsia"/>
          <w:color w:val="auto"/>
          <w:highlight w:val="none"/>
        </w:rPr>
        <w:t>：</w:t>
      </w:r>
    </w:p>
    <w:p w14:paraId="17395687">
      <w:pPr>
        <w:kinsoku/>
        <w:overflowPunct/>
        <w:bidi w:val="0"/>
        <w:spacing w:before="156" w:beforeLines="50" w:line="360" w:lineRule="auto"/>
        <w:ind w:firstLine="525" w:firstLineChars="250"/>
        <w:rPr>
          <w:color w:val="auto"/>
          <w:highlight w:val="none"/>
        </w:rPr>
      </w:pPr>
      <w:r>
        <w:rPr>
          <w:rFonts w:hint="eastAsia"/>
          <w:color w:val="auto"/>
          <w:highlight w:val="none"/>
        </w:rPr>
        <w:t>1）以</w:t>
      </w:r>
      <w:r>
        <w:rPr>
          <w:rFonts w:hint="eastAsia"/>
          <w:i/>
          <w:iCs/>
          <w:color w:val="auto"/>
          <w:highlight w:val="none"/>
        </w:rPr>
        <w:t>O</w:t>
      </w:r>
      <w:r>
        <w:rPr>
          <w:color w:val="auto"/>
          <w:highlight w:val="none"/>
          <w:vertAlign w:val="superscript"/>
        </w:rPr>
        <w:t>’</w:t>
      </w:r>
      <w:r>
        <w:rPr>
          <w:rFonts w:hint="eastAsia"/>
          <w:color w:val="auto"/>
          <w:highlight w:val="none"/>
        </w:rPr>
        <w:t>为原点，按1.0、3.0、5.5和10.5初裂挠度</w:t>
      </w:r>
      <w:r>
        <w:rPr>
          <w:i/>
          <w:iCs/>
          <w:color w:val="auto"/>
          <w:highlight w:val="none"/>
        </w:rPr>
        <w:t>δ</w:t>
      </w:r>
      <w:r>
        <w:rPr>
          <w:rFonts w:hint="eastAsia"/>
          <w:color w:val="auto"/>
          <w:highlight w:val="none"/>
          <w:vertAlign w:val="subscript"/>
        </w:rPr>
        <w:t>cr</w:t>
      </w:r>
      <w:r>
        <w:rPr>
          <w:rFonts w:hint="eastAsia"/>
          <w:color w:val="auto"/>
          <w:highlight w:val="none"/>
        </w:rPr>
        <w:t>的倍数，在横轴上确定</w:t>
      </w:r>
      <w:r>
        <w:rPr>
          <w:i/>
          <w:iCs/>
          <w:color w:val="auto"/>
          <w:highlight w:val="none"/>
        </w:rPr>
        <w:t>B</w:t>
      </w:r>
      <w:r>
        <w:rPr>
          <w:rFonts w:hint="eastAsia"/>
          <w:color w:val="auto"/>
          <w:highlight w:val="none"/>
        </w:rPr>
        <w:t>、</w:t>
      </w:r>
      <w:r>
        <w:rPr>
          <w:i/>
          <w:iCs/>
          <w:color w:val="auto"/>
          <w:highlight w:val="none"/>
        </w:rPr>
        <w:t>D</w:t>
      </w:r>
      <w:r>
        <w:rPr>
          <w:rFonts w:hint="eastAsia"/>
          <w:color w:val="auto"/>
          <w:highlight w:val="none"/>
        </w:rPr>
        <w:t>、</w:t>
      </w:r>
      <w:r>
        <w:rPr>
          <w:i/>
          <w:iCs/>
          <w:color w:val="auto"/>
          <w:highlight w:val="none"/>
        </w:rPr>
        <w:t>F</w:t>
      </w:r>
      <w:r>
        <w:rPr>
          <w:rFonts w:hint="eastAsia"/>
          <w:color w:val="auto"/>
          <w:highlight w:val="none"/>
        </w:rPr>
        <w:t>和</w:t>
      </w:r>
      <w:r>
        <w:rPr>
          <w:i/>
          <w:iCs/>
          <w:color w:val="auto"/>
          <w:highlight w:val="none"/>
        </w:rPr>
        <w:t>H</w:t>
      </w:r>
      <w:r>
        <w:rPr>
          <w:rFonts w:hint="eastAsia"/>
          <w:color w:val="auto"/>
          <w:highlight w:val="none"/>
        </w:rPr>
        <w:t>点，用数学工具求得△</w:t>
      </w:r>
      <w:r>
        <w:rPr>
          <w:rFonts w:hint="eastAsia"/>
          <w:i/>
          <w:iCs/>
          <w:color w:val="auto"/>
          <w:highlight w:val="none"/>
        </w:rPr>
        <w:t>O</w:t>
      </w:r>
      <w:r>
        <w:rPr>
          <w:color w:val="auto"/>
          <w:highlight w:val="none"/>
          <w:vertAlign w:val="superscript"/>
        </w:rPr>
        <w:t>’</w:t>
      </w:r>
      <w:r>
        <w:rPr>
          <w:i/>
          <w:iCs/>
          <w:color w:val="auto"/>
          <w:highlight w:val="none"/>
        </w:rPr>
        <w:t>AB</w:t>
      </w:r>
      <w:r>
        <w:rPr>
          <w:rFonts w:hint="eastAsia"/>
          <w:color w:val="auto"/>
          <w:highlight w:val="none"/>
        </w:rPr>
        <w:t>、</w:t>
      </w:r>
      <w:r>
        <w:rPr>
          <w:rFonts w:hint="eastAsia"/>
          <w:i/>
          <w:iCs/>
          <w:color w:val="auto"/>
          <w:highlight w:val="none"/>
        </w:rPr>
        <w:t>O</w:t>
      </w:r>
      <w:r>
        <w:rPr>
          <w:color w:val="auto"/>
          <w:highlight w:val="none"/>
          <w:vertAlign w:val="superscript"/>
        </w:rPr>
        <w:t>’</w:t>
      </w:r>
      <w:r>
        <w:rPr>
          <w:i/>
          <w:iCs/>
          <w:color w:val="auto"/>
          <w:highlight w:val="none"/>
        </w:rPr>
        <w:t>ACD</w:t>
      </w:r>
      <w:r>
        <w:rPr>
          <w:rFonts w:hint="eastAsia"/>
          <w:color w:val="auto"/>
          <w:highlight w:val="none"/>
        </w:rPr>
        <w:t>、</w:t>
      </w:r>
      <w:r>
        <w:rPr>
          <w:rFonts w:hint="eastAsia"/>
          <w:i/>
          <w:iCs/>
          <w:color w:val="auto"/>
          <w:highlight w:val="none"/>
        </w:rPr>
        <w:t>O</w:t>
      </w:r>
      <w:r>
        <w:rPr>
          <w:color w:val="auto"/>
          <w:highlight w:val="none"/>
          <w:vertAlign w:val="superscript"/>
        </w:rPr>
        <w:t>’</w:t>
      </w:r>
      <w:r>
        <w:rPr>
          <w:i/>
          <w:iCs/>
          <w:color w:val="auto"/>
          <w:highlight w:val="none"/>
        </w:rPr>
        <w:t>AEF</w:t>
      </w:r>
      <w:r>
        <w:rPr>
          <w:rFonts w:hint="eastAsia"/>
          <w:color w:val="auto"/>
          <w:highlight w:val="none"/>
        </w:rPr>
        <w:t>和</w:t>
      </w:r>
      <w:r>
        <w:rPr>
          <w:rFonts w:hint="eastAsia"/>
          <w:i/>
          <w:iCs/>
          <w:color w:val="auto"/>
          <w:highlight w:val="none"/>
        </w:rPr>
        <w:t>O</w:t>
      </w:r>
      <w:r>
        <w:rPr>
          <w:color w:val="auto"/>
          <w:highlight w:val="none"/>
          <w:vertAlign w:val="superscript"/>
        </w:rPr>
        <w:t>’</w:t>
      </w:r>
      <w:r>
        <w:rPr>
          <w:i/>
          <w:iCs/>
          <w:color w:val="auto"/>
          <w:highlight w:val="none"/>
        </w:rPr>
        <w:t>AGH</w:t>
      </w:r>
      <w:r>
        <w:rPr>
          <w:rFonts w:hint="eastAsia"/>
          <w:color w:val="auto"/>
          <w:highlight w:val="none"/>
        </w:rPr>
        <w:t>的面积，分别记为</w:t>
      </w:r>
      <w:r>
        <w:rPr>
          <w:i/>
          <w:iCs/>
          <w:color w:val="auto"/>
          <w:highlight w:val="none"/>
        </w:rPr>
        <w:t>Ω</w:t>
      </w:r>
      <w:r>
        <w:rPr>
          <w:color w:val="auto"/>
          <w:highlight w:val="none"/>
          <w:vertAlign w:val="subscript"/>
        </w:rPr>
        <w:t>δ</w:t>
      </w:r>
      <w:r>
        <w:rPr>
          <w:rFonts w:hint="eastAsia"/>
          <w:color w:val="auto"/>
          <w:highlight w:val="none"/>
        </w:rPr>
        <w:t>、</w:t>
      </w:r>
      <w:r>
        <w:rPr>
          <w:i/>
          <w:iCs/>
          <w:color w:val="auto"/>
          <w:highlight w:val="none"/>
        </w:rPr>
        <w:t>Ω</w:t>
      </w:r>
      <w:r>
        <w:rPr>
          <w:rFonts w:hint="eastAsia"/>
          <w:color w:val="auto"/>
          <w:highlight w:val="none"/>
          <w:vertAlign w:val="subscript"/>
        </w:rPr>
        <w:t>3</w:t>
      </w:r>
      <w:r>
        <w:rPr>
          <w:color w:val="auto"/>
          <w:highlight w:val="none"/>
          <w:vertAlign w:val="subscript"/>
        </w:rPr>
        <w:t>δ</w:t>
      </w:r>
      <w:r>
        <w:rPr>
          <w:rFonts w:hint="eastAsia"/>
          <w:color w:val="auto"/>
          <w:highlight w:val="none"/>
        </w:rPr>
        <w:t>、</w:t>
      </w:r>
      <w:r>
        <w:rPr>
          <w:i/>
          <w:iCs/>
          <w:color w:val="auto"/>
          <w:highlight w:val="none"/>
        </w:rPr>
        <w:t>Ω</w:t>
      </w:r>
      <w:r>
        <w:rPr>
          <w:rFonts w:hint="eastAsia"/>
          <w:color w:val="auto"/>
          <w:highlight w:val="none"/>
          <w:vertAlign w:val="subscript"/>
        </w:rPr>
        <w:t>5.5</w:t>
      </w:r>
      <w:r>
        <w:rPr>
          <w:color w:val="auto"/>
          <w:highlight w:val="none"/>
          <w:vertAlign w:val="subscript"/>
        </w:rPr>
        <w:t>δ</w:t>
      </w:r>
      <w:r>
        <w:rPr>
          <w:rFonts w:hint="eastAsia"/>
          <w:color w:val="auto"/>
          <w:highlight w:val="none"/>
        </w:rPr>
        <w:t>、</w:t>
      </w:r>
      <w:r>
        <w:rPr>
          <w:i/>
          <w:iCs/>
          <w:color w:val="auto"/>
          <w:highlight w:val="none"/>
        </w:rPr>
        <w:t>Ω</w:t>
      </w:r>
      <w:r>
        <w:rPr>
          <w:rFonts w:hint="eastAsia"/>
          <w:color w:val="auto"/>
          <w:highlight w:val="none"/>
          <w:vertAlign w:val="subscript"/>
        </w:rPr>
        <w:t>10.5</w:t>
      </w:r>
      <w:r>
        <w:rPr>
          <w:color w:val="auto"/>
          <w:highlight w:val="none"/>
          <w:vertAlign w:val="subscript"/>
        </w:rPr>
        <w:t>δ</w:t>
      </w:r>
      <w:r>
        <w:rPr>
          <w:rFonts w:hint="eastAsia"/>
          <w:color w:val="auto"/>
          <w:highlight w:val="none"/>
        </w:rPr>
        <w:t>。</w:t>
      </w:r>
    </w:p>
    <w:p w14:paraId="026E1400">
      <w:pPr>
        <w:kinsoku/>
        <w:overflowPunct/>
        <w:bidi w:val="0"/>
        <w:spacing w:before="156" w:beforeLines="50" w:line="360" w:lineRule="auto"/>
        <w:ind w:firstLine="525" w:firstLineChars="250"/>
        <w:rPr>
          <w:color w:val="auto"/>
          <w:highlight w:val="none"/>
        </w:rPr>
      </w:pPr>
      <w:r>
        <w:rPr>
          <w:rFonts w:hint="eastAsia"/>
          <w:color w:val="auto"/>
          <w:highlight w:val="none"/>
        </w:rPr>
        <w:t>2）每个试件的弯曲韧性指数应按下列公式求得，弯曲韧性指数应精确至0.01：</w:t>
      </w:r>
    </w:p>
    <w:p w14:paraId="1C04115E">
      <w:pPr>
        <w:kinsoku/>
        <w:overflowPunct/>
        <w:bidi w:val="0"/>
        <w:spacing w:before="156" w:beforeLines="50" w:line="360" w:lineRule="auto"/>
        <w:ind w:firstLine="315" w:firstLineChars="150"/>
        <w:jc w:val="right"/>
        <w:rPr>
          <w:color w:val="auto"/>
          <w:szCs w:val="21"/>
          <w:highlight w:val="none"/>
        </w:rPr>
      </w:pPr>
      <w:r>
        <w:rPr>
          <w:color w:val="auto"/>
          <w:position w:val="-30"/>
          <w:szCs w:val="21"/>
          <w:highlight w:val="none"/>
        </w:rPr>
        <w:object>
          <v:shape id="_x0000_i1057" o:spt="75" type="#_x0000_t75" style="height:34.25pt;width:45.55pt;" o:ole="t" filled="f" o:preferrelative="t" stroked="f" coordsize="21600,21600">
            <v:path/>
            <v:fill on="f" focussize="0,0"/>
            <v:stroke on="f" joinstyle="miter"/>
            <v:imagedata r:id="rId87" o:title=""/>
            <o:lock v:ext="edit" aspectratio="t"/>
            <w10:wrap type="none"/>
            <w10:anchorlock/>
          </v:shape>
          <o:OLEObject Type="Embed" ProgID="Equation.3" ShapeID="_x0000_i1057" DrawAspect="Content" ObjectID="_1468075757" r:id="rId86">
            <o:LockedField>false</o:LockedField>
          </o:OLEObject>
        </w:object>
      </w:r>
      <w:r>
        <w:rPr>
          <w:rFonts w:hint="eastAsia"/>
          <w:color w:val="auto"/>
          <w:szCs w:val="21"/>
          <w:highlight w:val="none"/>
        </w:rPr>
        <w:t xml:space="preserve">                              （6.5.4-3）</w:t>
      </w:r>
    </w:p>
    <w:p w14:paraId="764C8751">
      <w:pPr>
        <w:kinsoku/>
        <w:overflowPunct/>
        <w:bidi w:val="0"/>
        <w:spacing w:before="156" w:beforeLines="50" w:line="360" w:lineRule="auto"/>
        <w:ind w:firstLine="315" w:firstLineChars="150"/>
        <w:jc w:val="right"/>
        <w:rPr>
          <w:color w:val="auto"/>
          <w:szCs w:val="21"/>
          <w:highlight w:val="none"/>
        </w:rPr>
      </w:pPr>
      <w:r>
        <w:rPr>
          <w:color w:val="auto"/>
          <w:position w:val="-30"/>
          <w:szCs w:val="21"/>
          <w:highlight w:val="none"/>
        </w:rPr>
        <w:object>
          <v:shape id="_x0000_i1058" o:spt="75" type="#_x0000_t75" style="height:34.25pt;width:55.25pt;" o:ole="t" filled="f" o:preferrelative="t" stroked="f" coordsize="21600,21600">
            <v:path/>
            <v:fill on="f" focussize="0,0"/>
            <v:stroke on="f" joinstyle="miter"/>
            <v:imagedata r:id="rId89" o:title=""/>
            <o:lock v:ext="edit" aspectratio="t"/>
            <w10:wrap type="none"/>
            <w10:anchorlock/>
          </v:shape>
          <o:OLEObject Type="Embed" ProgID="Equation.3" ShapeID="_x0000_i1058" DrawAspect="Content" ObjectID="_1468075758" r:id="rId88">
            <o:LockedField>false</o:LockedField>
          </o:OLEObject>
        </w:object>
      </w:r>
      <w:r>
        <w:rPr>
          <w:rFonts w:hint="eastAsia"/>
          <w:color w:val="auto"/>
          <w:szCs w:val="21"/>
          <w:highlight w:val="none"/>
        </w:rPr>
        <w:t xml:space="preserve">                             （6.5.4-4）</w:t>
      </w:r>
    </w:p>
    <w:p w14:paraId="06EB488A">
      <w:pPr>
        <w:kinsoku/>
        <w:overflowPunct/>
        <w:bidi w:val="0"/>
        <w:spacing w:before="156" w:beforeLines="50" w:line="360" w:lineRule="auto"/>
        <w:ind w:firstLine="315" w:firstLineChars="150"/>
        <w:jc w:val="right"/>
        <w:rPr>
          <w:color w:val="auto"/>
          <w:highlight w:val="none"/>
        </w:rPr>
      </w:pPr>
      <w:r>
        <w:rPr>
          <w:color w:val="auto"/>
          <w:position w:val="-30"/>
          <w:szCs w:val="21"/>
          <w:highlight w:val="none"/>
        </w:rPr>
        <w:object>
          <v:shape id="_x0000_i1059" o:spt="75" type="#_x0000_t75" style="height:34.25pt;width:58.4pt;" o:ole="t" filled="f" o:preferrelative="t" stroked="f" coordsize="21600,21600">
            <v:path/>
            <v:fill on="f" focussize="0,0"/>
            <v:stroke on="f" joinstyle="miter"/>
            <v:imagedata r:id="rId91" o:title=""/>
            <o:lock v:ext="edit" aspectratio="t"/>
            <w10:wrap type="none"/>
            <w10:anchorlock/>
          </v:shape>
          <o:OLEObject Type="Embed" ProgID="Equation.3" ShapeID="_x0000_i1059" DrawAspect="Content" ObjectID="_1468075759" r:id="rId90">
            <o:LockedField>false</o:LockedField>
          </o:OLEObject>
        </w:object>
      </w:r>
      <w:r>
        <w:rPr>
          <w:rFonts w:hint="eastAsia"/>
          <w:color w:val="auto"/>
          <w:szCs w:val="21"/>
          <w:highlight w:val="none"/>
        </w:rPr>
        <w:t xml:space="preserve">                             （6.5.4-5）</w:t>
      </w:r>
    </w:p>
    <w:p w14:paraId="040AFB0D">
      <w:pPr>
        <w:kinsoku/>
        <w:overflowPunct/>
        <w:bidi w:val="0"/>
        <w:spacing w:before="156" w:beforeLines="50" w:line="360" w:lineRule="auto"/>
        <w:ind w:firstLine="525" w:firstLineChars="250"/>
        <w:rPr>
          <w:color w:val="auto"/>
          <w:highlight w:val="none"/>
        </w:rPr>
      </w:pPr>
      <w:r>
        <w:rPr>
          <w:rFonts w:hint="eastAsia"/>
          <w:color w:val="auto"/>
          <w:highlight w:val="none"/>
        </w:rPr>
        <w:t>3）以三个试件的算术平均值作为该组试件的弯曲韧性指数。</w:t>
      </w:r>
    </w:p>
    <w:p w14:paraId="344DE5D5">
      <w:pPr>
        <w:kinsoku/>
        <w:overflowPunct/>
        <w:bidi w:val="0"/>
        <w:spacing w:before="156" w:beforeLines="50" w:line="360" w:lineRule="auto"/>
        <w:ind w:firstLine="315" w:firstLineChars="150"/>
        <w:rPr>
          <w:color w:val="auto"/>
          <w:highlight w:val="none"/>
        </w:rPr>
      </w:pPr>
      <w:r>
        <w:rPr>
          <w:rFonts w:hint="eastAsia"/>
          <w:color w:val="auto"/>
          <w:highlight w:val="none"/>
          <w:lang w:eastAsia="zh"/>
          <w:woUserID w:val="3"/>
        </w:rPr>
        <w:t>3等效弯曲强度和</w:t>
      </w:r>
      <w:r>
        <w:rPr>
          <w:rFonts w:hint="eastAsia"/>
          <w:color w:val="auto"/>
          <w:highlight w:val="none"/>
        </w:rPr>
        <w:t>弯曲韧性比的</w:t>
      </w:r>
      <w:r>
        <w:rPr>
          <w:color w:val="auto"/>
          <w:highlight w:val="none"/>
        </w:rPr>
        <w:t>计算及确定按下列方法进行</w:t>
      </w:r>
      <w:r>
        <w:rPr>
          <w:rFonts w:hint="eastAsia"/>
          <w:color w:val="auto"/>
          <w:highlight w:val="none"/>
        </w:rPr>
        <w:t>：</w:t>
      </w:r>
    </w:p>
    <w:p w14:paraId="25A16653">
      <w:pPr>
        <w:numPr>
          <w:ilvl w:val="0"/>
          <w:numId w:val="0"/>
        </w:numPr>
        <w:kinsoku/>
        <w:overflowPunct/>
        <w:bidi w:val="0"/>
        <w:spacing w:before="156" w:beforeLines="50" w:line="360" w:lineRule="auto"/>
        <w:ind w:firstLine="525" w:firstLineChars="250"/>
        <w:rPr>
          <w:rFonts w:hint="eastAsia"/>
          <w:color w:val="auto"/>
          <w:highlight w:val="none"/>
          <w:lang w:eastAsia="zh"/>
          <w:woUserID w:val="3"/>
        </w:rPr>
      </w:pPr>
      <w:r>
        <w:rPr>
          <w:rFonts w:hint="eastAsia" w:ascii="Times New Roman" w:hAnsi="Times New Roman" w:eastAsia="宋体" w:cs="Times New Roman"/>
          <w:color w:val="auto"/>
          <w:kern w:val="2"/>
          <w:sz w:val="21"/>
          <w:szCs w:val="24"/>
          <w:highlight w:val="none"/>
          <w:lang w:val="en-US" w:eastAsia="zh" w:bidi="ar-SA"/>
          <w:woUserID w:val="3"/>
        </w:rPr>
        <w:t>1）</w:t>
      </w:r>
      <w:r>
        <w:rPr>
          <w:rFonts w:hint="eastAsia"/>
          <w:color w:val="auto"/>
          <w:highlight w:val="none"/>
          <w:lang w:eastAsia="zh"/>
          <w:woUserID w:val="3"/>
        </w:rPr>
        <w:t>按下式计算试件的等效弯曲强度</w:t>
      </w:r>
      <w:r>
        <w:rPr>
          <w:rFonts w:hint="eastAsia"/>
          <w:i/>
          <w:iCs/>
          <w:color w:val="auto"/>
          <w:highlight w:val="none"/>
          <w:lang w:eastAsia="zh"/>
          <w:woUserID w:val="3"/>
        </w:rPr>
        <w:t>f</w:t>
      </w:r>
      <w:r>
        <w:rPr>
          <w:rFonts w:hint="eastAsia"/>
          <w:color w:val="auto"/>
          <w:highlight w:val="none"/>
          <w:vertAlign w:val="subscript"/>
          <w:lang w:eastAsia="zh"/>
          <w:woUserID w:val="3"/>
        </w:rPr>
        <w:t>e</w:t>
      </w:r>
      <w:r>
        <w:rPr>
          <w:rFonts w:hint="eastAsia"/>
          <w:color w:val="auto"/>
          <w:highlight w:val="none"/>
          <w:lang w:eastAsia="zh"/>
          <w:woUserID w:val="3"/>
        </w:rPr>
        <w:t>（图6.5.5-2）：</w:t>
      </w:r>
    </w:p>
    <w:p w14:paraId="28BBB113">
      <w:pPr>
        <w:numPr>
          <w:ilvl w:val="0"/>
          <w:numId w:val="0"/>
        </w:numPr>
        <w:kinsoku/>
        <w:overflowPunct/>
        <w:bidi w:val="0"/>
        <w:spacing w:before="156" w:beforeLines="50" w:line="360" w:lineRule="auto"/>
        <w:ind w:firstLine="525" w:firstLineChars="250"/>
        <w:jc w:val="right"/>
        <w:rPr>
          <w:rFonts w:hint="eastAsia"/>
          <w:color w:val="auto"/>
          <w:szCs w:val="21"/>
          <w:highlight w:val="none"/>
          <w:woUserID w:val="3"/>
        </w:rPr>
      </w:pPr>
      <w:r>
        <w:rPr>
          <w:color w:val="auto"/>
          <w:position w:val="-30"/>
          <w:szCs w:val="21"/>
          <w:highlight w:val="none"/>
          <w:woUserID w:val="3"/>
        </w:rPr>
        <w:object>
          <v:shape id="_x0000_i1060" o:spt="75" type="#_x0000_t75" style="height:34.25pt;width:55.65pt;" o:ole="t" filled="f" o:preferrelative="t" stroked="f" coordsize="21600,21600">
            <v:path/>
            <v:fill on="f" focussize="0,0"/>
            <v:stroke on="f"/>
            <v:imagedata r:id="rId93" o:title=""/>
            <o:lock v:ext="edit" aspectratio="t"/>
            <w10:wrap type="none"/>
            <w10:anchorlock/>
          </v:shape>
          <o:OLEObject Type="Embed" ProgID="Equation.3" ShapeID="_x0000_i1060" DrawAspect="Content" ObjectID="_1468075760" r:id="rId92">
            <o:LockedField>false</o:LockedField>
          </o:OLEObject>
        </w:object>
      </w:r>
      <w:r>
        <w:rPr>
          <w:rFonts w:hint="eastAsia"/>
          <w:color w:val="auto"/>
          <w:szCs w:val="21"/>
          <w:highlight w:val="none"/>
          <w:woUserID w:val="3"/>
        </w:rPr>
        <w:t xml:space="preserve">                             （6.5.4-</w:t>
      </w:r>
      <w:r>
        <w:rPr>
          <w:rFonts w:hint="eastAsia"/>
          <w:color w:val="auto"/>
          <w:szCs w:val="21"/>
          <w:highlight w:val="none"/>
          <w:lang w:eastAsia="zh"/>
          <w:woUserID w:val="3"/>
        </w:rPr>
        <w:t>6</w:t>
      </w:r>
      <w:r>
        <w:rPr>
          <w:rFonts w:hint="eastAsia"/>
          <w:color w:val="auto"/>
          <w:szCs w:val="21"/>
          <w:highlight w:val="none"/>
          <w:woUserID w:val="3"/>
        </w:rPr>
        <w:t>）</w:t>
      </w:r>
    </w:p>
    <w:p w14:paraId="4A58E8EA">
      <w:pPr>
        <w:kinsoku/>
        <w:overflowPunct/>
        <w:bidi w:val="0"/>
        <w:spacing w:line="360" w:lineRule="auto"/>
        <w:ind w:firstLine="0" w:firstLineChars="0"/>
        <w:rPr>
          <w:rFonts w:hint="eastAsia"/>
          <w:color w:val="auto"/>
          <w:highlight w:val="none"/>
          <w:woUserID w:val="3"/>
        </w:rPr>
      </w:pPr>
      <w:r>
        <w:rPr>
          <w:rFonts w:hint="eastAsia"/>
          <w:color w:val="auto"/>
          <w:highlight w:val="none"/>
          <w:woUserID w:val="3"/>
        </w:rPr>
        <w:t>式中：</w:t>
      </w:r>
      <w:r>
        <w:rPr>
          <w:rFonts w:hint="eastAsia"/>
          <w:i/>
          <w:iCs/>
          <w:color w:val="auto"/>
          <w:highlight w:val="none"/>
          <w:woUserID w:val="3"/>
        </w:rPr>
        <w:t>f</w:t>
      </w:r>
      <w:r>
        <w:rPr>
          <w:rFonts w:hint="eastAsia"/>
          <w:color w:val="auto"/>
          <w:highlight w:val="none"/>
          <w:vertAlign w:val="subscript"/>
          <w:woUserID w:val="3"/>
        </w:rPr>
        <w:t>e</w:t>
      </w:r>
      <w:r>
        <w:rPr>
          <w:rFonts w:hint="eastAsia"/>
          <w:color w:val="auto"/>
          <w:highlight w:val="none"/>
          <w:woUserID w:val="3"/>
        </w:rPr>
        <w:t>——等效弯曲强度（MPa）；</w:t>
      </w:r>
    </w:p>
    <w:p w14:paraId="4463A096">
      <w:pPr>
        <w:kinsoku/>
        <w:overflowPunct/>
        <w:bidi w:val="0"/>
        <w:spacing w:line="360" w:lineRule="auto"/>
        <w:ind w:firstLine="420" w:firstLineChars="200"/>
        <w:rPr>
          <w:i/>
          <w:iCs/>
          <w:color w:val="auto"/>
          <w:highlight w:val="none"/>
          <w:woUserID w:val="3"/>
        </w:rPr>
      </w:pPr>
      <w:r>
        <w:rPr>
          <w:color w:val="auto"/>
          <w:highlight w:val="none"/>
          <w:woUserID w:val="3"/>
        </w:rPr>
        <w:t>Ω</w:t>
      </w:r>
      <w:r>
        <w:rPr>
          <w:rFonts w:hint="eastAsia"/>
          <w:color w:val="auto"/>
          <w:highlight w:val="none"/>
          <w:vertAlign w:val="subscript"/>
          <w:woUserID w:val="3"/>
        </w:rPr>
        <w:t>k</w:t>
      </w:r>
      <w:r>
        <w:rPr>
          <w:rFonts w:hint="eastAsia"/>
          <w:color w:val="auto"/>
          <w:highlight w:val="none"/>
          <w:woUserID w:val="3"/>
        </w:rPr>
        <w:t>——跨中挠度为</w:t>
      </w:r>
      <w:r>
        <w:rPr>
          <w:rFonts w:hint="eastAsia"/>
          <w:i/>
          <w:iCs/>
          <w:color w:val="auto"/>
          <w:highlight w:val="none"/>
          <w:woUserID w:val="3"/>
        </w:rPr>
        <w:t>L</w:t>
      </w:r>
      <w:r>
        <w:rPr>
          <w:rFonts w:hint="eastAsia"/>
          <w:color w:val="auto"/>
          <w:highlight w:val="none"/>
          <w:woUserID w:val="3"/>
        </w:rPr>
        <w:t>/150的荷载-挠度曲线下的面积（N</w:t>
      </w:r>
      <w:r>
        <w:rPr>
          <w:color w:val="auto"/>
          <w:highlight w:val="none"/>
          <w:woUserID w:val="3"/>
        </w:rPr>
        <w:t>·</w:t>
      </w:r>
      <w:r>
        <w:rPr>
          <w:rFonts w:hint="eastAsia"/>
          <w:color w:val="auto"/>
          <w:highlight w:val="none"/>
          <w:woUserID w:val="3"/>
        </w:rPr>
        <w:t>mm）；</w:t>
      </w:r>
    </w:p>
    <w:p w14:paraId="419DA2DF">
      <w:pPr>
        <w:kinsoku/>
        <w:overflowPunct/>
        <w:bidi w:val="0"/>
        <w:spacing w:line="360" w:lineRule="auto"/>
        <w:ind w:firstLine="420" w:firstLineChars="200"/>
        <w:rPr>
          <w:i/>
          <w:iCs/>
          <w:color w:val="auto"/>
          <w:highlight w:val="none"/>
          <w:woUserID w:val="3"/>
        </w:rPr>
      </w:pPr>
      <w:r>
        <w:rPr>
          <w:i/>
          <w:iCs/>
          <w:color w:val="auto"/>
          <w:highlight w:val="none"/>
          <w:woUserID w:val="3"/>
        </w:rPr>
        <w:t>δ</w:t>
      </w:r>
      <w:r>
        <w:rPr>
          <w:color w:val="auto"/>
          <w:highlight w:val="none"/>
          <w:vertAlign w:val="subscript"/>
          <w:woUserID w:val="3"/>
        </w:rPr>
        <w:t>k</w:t>
      </w:r>
      <w:r>
        <w:rPr>
          <w:rFonts w:hint="eastAsia"/>
          <w:color w:val="auto"/>
          <w:highlight w:val="none"/>
          <w:woUserID w:val="3"/>
        </w:rPr>
        <w:t>——跨中挠度为</w:t>
      </w:r>
      <w:r>
        <w:rPr>
          <w:rFonts w:hint="eastAsia"/>
          <w:i/>
          <w:iCs/>
          <w:color w:val="auto"/>
          <w:highlight w:val="none"/>
          <w:woUserID w:val="3"/>
        </w:rPr>
        <w:t>L</w:t>
      </w:r>
      <w:r>
        <w:rPr>
          <w:rFonts w:hint="eastAsia"/>
          <w:color w:val="auto"/>
          <w:highlight w:val="none"/>
          <w:woUserID w:val="3"/>
        </w:rPr>
        <w:t>/150时的挠度值（mm）；</w:t>
      </w:r>
    </w:p>
    <w:p w14:paraId="21799D96">
      <w:pPr>
        <w:kinsoku/>
        <w:overflowPunct/>
        <w:bidi w:val="0"/>
        <w:spacing w:line="360" w:lineRule="auto"/>
        <w:ind w:firstLine="420" w:firstLineChars="200"/>
        <w:rPr>
          <w:color w:val="auto"/>
          <w:highlight w:val="none"/>
          <w:woUserID w:val="3"/>
        </w:rPr>
      </w:pPr>
      <w:r>
        <w:rPr>
          <w:rFonts w:hint="eastAsia"/>
          <w:i/>
          <w:iCs/>
          <w:color w:val="auto"/>
          <w:highlight w:val="none"/>
          <w:woUserID w:val="3"/>
        </w:rPr>
        <w:t>L</w:t>
      </w:r>
      <w:r>
        <w:rPr>
          <w:rFonts w:hint="eastAsia"/>
          <w:color w:val="auto"/>
          <w:highlight w:val="none"/>
          <w:woUserID w:val="3"/>
        </w:rPr>
        <w:t>——试验梁支座间的跨距（mm）；</w:t>
      </w:r>
    </w:p>
    <w:p w14:paraId="5A8D308A">
      <w:pPr>
        <w:kinsoku/>
        <w:overflowPunct/>
        <w:bidi w:val="0"/>
        <w:spacing w:line="360" w:lineRule="auto"/>
        <w:ind w:firstLine="420" w:firstLineChars="200"/>
        <w:rPr>
          <w:i/>
          <w:iCs/>
          <w:color w:val="auto"/>
          <w:highlight w:val="none"/>
          <w:woUserID w:val="3"/>
        </w:rPr>
      </w:pPr>
      <w:r>
        <w:rPr>
          <w:rFonts w:hint="eastAsia"/>
          <w:i/>
          <w:iCs/>
          <w:color w:val="auto"/>
          <w:highlight w:val="none"/>
          <w:woUserID w:val="3"/>
        </w:rPr>
        <w:t>b</w:t>
      </w:r>
      <w:r>
        <w:rPr>
          <w:rFonts w:hint="eastAsia"/>
          <w:color w:val="auto"/>
          <w:highlight w:val="none"/>
          <w:woUserID w:val="3"/>
        </w:rPr>
        <w:t>——试件截面的宽度（mm）；</w:t>
      </w:r>
    </w:p>
    <w:p w14:paraId="5F2FCA71">
      <w:pPr>
        <w:kinsoku/>
        <w:overflowPunct/>
        <w:bidi w:val="0"/>
        <w:spacing w:before="0" w:beforeLines="-2147483648" w:line="360" w:lineRule="auto"/>
        <w:ind w:firstLine="420" w:firstLineChars="200"/>
        <w:rPr>
          <w:rFonts w:hint="eastAsia"/>
          <w:color w:val="auto"/>
          <w:szCs w:val="21"/>
          <w:highlight w:val="none"/>
          <w:lang w:eastAsia="zh"/>
          <w:woUserID w:val="3"/>
        </w:rPr>
      </w:pPr>
      <w:r>
        <w:rPr>
          <w:rFonts w:hint="eastAsia"/>
          <w:i/>
          <w:iCs/>
          <w:color w:val="auto"/>
          <w:highlight w:val="none"/>
          <w:woUserID w:val="3"/>
        </w:rPr>
        <w:t>h</w:t>
      </w:r>
      <w:r>
        <w:rPr>
          <w:rFonts w:hint="eastAsia"/>
          <w:color w:val="auto"/>
          <w:highlight w:val="none"/>
          <w:woUserID w:val="3"/>
        </w:rPr>
        <w:t>——试件截面的高度（mm）。</w:t>
      </w:r>
    </w:p>
    <w:p w14:paraId="42AA907F">
      <w:pPr>
        <w:kinsoku/>
        <w:overflowPunct/>
        <w:bidi w:val="0"/>
        <w:spacing w:before="156" w:beforeLines="50" w:line="360" w:lineRule="auto"/>
        <w:jc w:val="center"/>
        <w:rPr>
          <w:color w:val="auto"/>
          <w:szCs w:val="21"/>
          <w:highlight w:val="none"/>
          <w:lang w:val="nb-NO"/>
          <w:woUserID w:val="3"/>
        </w:rPr>
      </w:pPr>
      <w:r>
        <w:rPr>
          <w:color w:val="auto"/>
          <w:szCs w:val="21"/>
          <w:highlight w:val="none"/>
          <w:lang w:val="nb-NO"/>
          <w:woUserID w:val="3"/>
        </w:rPr>
        <w:drawing>
          <wp:inline distT="0" distB="0" distL="114300" distR="114300">
            <wp:extent cx="2638425" cy="1308735"/>
            <wp:effectExtent l="0" t="0" r="9525" b="571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94"/>
                    <a:stretch>
                      <a:fillRect/>
                    </a:stretch>
                  </pic:blipFill>
                  <pic:spPr>
                    <a:xfrm>
                      <a:off x="0" y="0"/>
                      <a:ext cx="2638425" cy="1308735"/>
                    </a:xfrm>
                    <a:prstGeom prst="rect">
                      <a:avLst/>
                    </a:prstGeom>
                    <a:noFill/>
                    <a:ln>
                      <a:noFill/>
                    </a:ln>
                  </pic:spPr>
                </pic:pic>
              </a:graphicData>
            </a:graphic>
          </wp:inline>
        </w:drawing>
      </w:r>
    </w:p>
    <w:p w14:paraId="2C333A5B">
      <w:pPr>
        <w:kinsoku/>
        <w:overflowPunct/>
        <w:bidi w:val="0"/>
        <w:spacing w:before="156" w:beforeLines="50" w:line="360" w:lineRule="auto"/>
        <w:ind w:firstLine="0" w:firstLineChars="0"/>
        <w:jc w:val="center"/>
        <w:rPr>
          <w:rFonts w:hint="eastAsia"/>
          <w:color w:val="auto"/>
          <w:highlight w:val="none"/>
          <w:lang w:eastAsia="zh"/>
          <w:woUserID w:val="3"/>
        </w:rPr>
      </w:pPr>
      <w:r>
        <w:rPr>
          <w:rFonts w:hint="eastAsia"/>
          <w:color w:val="auto"/>
          <w:highlight w:val="none"/>
          <w:woUserID w:val="3"/>
        </w:rPr>
        <w:t>图6.5.</w:t>
      </w:r>
      <w:r>
        <w:rPr>
          <w:rFonts w:hint="eastAsia"/>
          <w:color w:val="auto"/>
          <w:highlight w:val="none"/>
          <w:lang w:eastAsia="zh"/>
          <w:woUserID w:val="3"/>
        </w:rPr>
        <w:t>5</w:t>
      </w:r>
      <w:r>
        <w:rPr>
          <w:rFonts w:hint="eastAsia"/>
          <w:color w:val="auto"/>
          <w:highlight w:val="none"/>
          <w:woUserID w:val="3"/>
        </w:rPr>
        <w:t>-2 等效弯曲强度计算</w:t>
      </w:r>
    </w:p>
    <w:p w14:paraId="2B76FA7E">
      <w:pPr>
        <w:kinsoku/>
        <w:overflowPunct/>
        <w:bidi w:val="0"/>
        <w:spacing w:before="156" w:beforeLines="50" w:line="360" w:lineRule="auto"/>
        <w:ind w:firstLine="525" w:firstLineChars="250"/>
        <w:rPr>
          <w:color w:val="auto"/>
          <w:highlight w:val="none"/>
        </w:rPr>
      </w:pPr>
      <w:r>
        <w:rPr>
          <w:rFonts w:hint="eastAsia"/>
          <w:color w:val="auto"/>
          <w:highlight w:val="none"/>
          <w:lang w:eastAsia="zh"/>
          <w:woUserID w:val="3"/>
        </w:rPr>
        <w:t>2）</w:t>
      </w:r>
      <w:r>
        <w:rPr>
          <w:rFonts w:hint="eastAsia"/>
          <w:color w:val="auto"/>
          <w:highlight w:val="none"/>
        </w:rPr>
        <w:t>弯曲韧性比应按下式计算：</w:t>
      </w:r>
    </w:p>
    <w:p w14:paraId="6E99CF66">
      <w:pPr>
        <w:kinsoku/>
        <w:overflowPunct/>
        <w:bidi w:val="0"/>
        <w:spacing w:before="156" w:beforeLines="50" w:line="360" w:lineRule="auto"/>
        <w:ind w:firstLine="315" w:firstLineChars="150"/>
        <w:jc w:val="right"/>
        <w:rPr>
          <w:color w:val="auto"/>
          <w:szCs w:val="21"/>
          <w:highlight w:val="none"/>
        </w:rPr>
      </w:pPr>
      <w:r>
        <w:rPr>
          <w:color w:val="auto"/>
          <w:position w:val="-30"/>
          <w:szCs w:val="21"/>
          <w:highlight w:val="none"/>
        </w:rPr>
        <w:object>
          <v:shape id="_x0000_i1061" o:spt="75" type="#_x0000_t75" style="height:34.25pt;width:43.2pt;" o:ole="t" filled="f" o:preferrelative="t" stroked="f" coordsize="21600,21600">
            <v:path/>
            <v:fill on="f" focussize="0,0"/>
            <v:stroke on="f" joinstyle="miter"/>
            <v:imagedata r:id="rId96" o:title=""/>
            <o:lock v:ext="edit" aspectratio="t"/>
            <w10:wrap type="none"/>
            <w10:anchorlock/>
          </v:shape>
          <o:OLEObject Type="Embed" ProgID="Equation.3" ShapeID="_x0000_i1061" DrawAspect="Content" ObjectID="_1468075761" r:id="rId95">
            <o:LockedField>false</o:LockedField>
          </o:OLEObject>
        </w:object>
      </w:r>
      <w:r>
        <w:rPr>
          <w:rFonts w:hint="eastAsia"/>
          <w:color w:val="auto"/>
          <w:szCs w:val="21"/>
          <w:highlight w:val="none"/>
        </w:rPr>
        <w:t xml:space="preserve">                               （6.5.4-</w:t>
      </w:r>
      <w:r>
        <w:rPr>
          <w:rFonts w:hint="eastAsia"/>
          <w:color w:val="auto"/>
          <w:szCs w:val="21"/>
          <w:highlight w:val="none"/>
          <w:lang w:eastAsia="zh"/>
          <w:woUserID w:val="3"/>
        </w:rPr>
        <w:t>7</w:t>
      </w:r>
      <w:r>
        <w:rPr>
          <w:rFonts w:hint="eastAsia"/>
          <w:color w:val="auto"/>
          <w:szCs w:val="21"/>
          <w:highlight w:val="none"/>
        </w:rPr>
        <w:t>）</w:t>
      </w:r>
    </w:p>
    <w:p w14:paraId="55B12FFD">
      <w:pPr>
        <w:kinsoku/>
        <w:overflowPunct/>
        <w:bidi w:val="0"/>
        <w:spacing w:before="156" w:beforeLines="50" w:line="360" w:lineRule="auto"/>
        <w:ind w:firstLine="315" w:firstLineChars="150"/>
        <w:jc w:val="right"/>
        <w:rPr>
          <w:color w:val="auto"/>
          <w:highlight w:val="none"/>
        </w:rPr>
      </w:pPr>
    </w:p>
    <w:p w14:paraId="6B2B289D">
      <w:pPr>
        <w:kinsoku/>
        <w:overflowPunct/>
        <w:bidi w:val="0"/>
        <w:spacing w:line="360" w:lineRule="auto"/>
        <w:rPr>
          <w:color w:val="auto"/>
          <w:highlight w:val="none"/>
        </w:rPr>
      </w:pPr>
      <w:r>
        <w:rPr>
          <w:rFonts w:hint="eastAsia"/>
          <w:color w:val="auto"/>
          <w:highlight w:val="none"/>
        </w:rPr>
        <w:t>式中：</w:t>
      </w:r>
      <w:r>
        <w:rPr>
          <w:rFonts w:hint="eastAsia"/>
          <w:i/>
          <w:iCs/>
          <w:color w:val="auto"/>
          <w:highlight w:val="none"/>
        </w:rPr>
        <w:t>R</w:t>
      </w:r>
      <w:r>
        <w:rPr>
          <w:rFonts w:hint="eastAsia"/>
          <w:color w:val="auto"/>
          <w:highlight w:val="none"/>
          <w:vertAlign w:val="subscript"/>
        </w:rPr>
        <w:t>e</w:t>
      </w:r>
      <w:r>
        <w:rPr>
          <w:rFonts w:hint="eastAsia"/>
          <w:color w:val="auto"/>
          <w:highlight w:val="none"/>
        </w:rPr>
        <w:t>——超高性能混凝土弯曲韧性比；</w:t>
      </w:r>
    </w:p>
    <w:p w14:paraId="71C2081E">
      <w:pPr>
        <w:kinsoku/>
        <w:overflowPunct/>
        <w:bidi w:val="0"/>
        <w:spacing w:line="360" w:lineRule="auto"/>
        <w:ind w:firstLine="735" w:firstLineChars="350"/>
        <w:rPr>
          <w:i/>
          <w:iCs/>
          <w:color w:val="auto"/>
          <w:highlight w:val="none"/>
        </w:rPr>
      </w:pPr>
      <w:r>
        <w:rPr>
          <w:rFonts w:hint="eastAsia"/>
          <w:i/>
          <w:iCs/>
          <w:color w:val="auto"/>
          <w:highlight w:val="none"/>
        </w:rPr>
        <w:t>f</w:t>
      </w:r>
      <w:r>
        <w:rPr>
          <w:rFonts w:hint="eastAsia"/>
          <w:color w:val="auto"/>
          <w:highlight w:val="none"/>
          <w:vertAlign w:val="subscript"/>
        </w:rPr>
        <w:t>e</w:t>
      </w:r>
      <w:r>
        <w:rPr>
          <w:rFonts w:hint="eastAsia"/>
          <w:color w:val="auto"/>
          <w:highlight w:val="none"/>
        </w:rPr>
        <w:t>——等效弯曲强度（MPa）；</w:t>
      </w:r>
    </w:p>
    <w:p w14:paraId="3BBE551E">
      <w:pPr>
        <w:kinsoku/>
        <w:overflowPunct/>
        <w:bidi w:val="0"/>
        <w:spacing w:line="360" w:lineRule="auto"/>
        <w:ind w:firstLine="735" w:firstLineChars="350"/>
        <w:rPr>
          <w:i/>
          <w:iCs/>
          <w:color w:val="auto"/>
          <w:highlight w:val="none"/>
        </w:rPr>
      </w:pPr>
      <w:r>
        <w:rPr>
          <w:rFonts w:hint="eastAsia"/>
          <w:i/>
          <w:iCs/>
          <w:color w:val="auto"/>
          <w:highlight w:val="none"/>
        </w:rPr>
        <w:t>f</w:t>
      </w:r>
      <w:r>
        <w:rPr>
          <w:rFonts w:hint="eastAsia"/>
          <w:color w:val="auto"/>
          <w:highlight w:val="none"/>
          <w:vertAlign w:val="subscript"/>
        </w:rPr>
        <w:t>cr</w:t>
      </w:r>
      <w:r>
        <w:rPr>
          <w:rFonts w:hint="eastAsia"/>
          <w:color w:val="auto"/>
          <w:highlight w:val="none"/>
        </w:rPr>
        <w:t>——抗弯初裂强度（MPa）</w:t>
      </w:r>
      <w:r>
        <w:rPr>
          <w:rFonts w:hint="eastAsia"/>
          <w:color w:val="auto"/>
          <w:highlight w:val="none"/>
          <w:lang w:eastAsia="zh"/>
          <w:woUserID w:val="3"/>
        </w:rPr>
        <w:t>。</w:t>
      </w:r>
    </w:p>
    <w:p w14:paraId="19C9C939">
      <w:pPr>
        <w:kinsoku/>
        <w:overflowPunct/>
        <w:bidi w:val="0"/>
        <w:spacing w:before="156" w:beforeLines="50" w:line="360" w:lineRule="auto"/>
        <w:ind w:firstLine="525" w:firstLineChars="250"/>
        <w:rPr>
          <w:color w:val="auto"/>
          <w:highlight w:val="none"/>
        </w:rPr>
      </w:pPr>
      <w:r>
        <w:rPr>
          <w:rFonts w:hint="eastAsia"/>
          <w:color w:val="auto"/>
          <w:highlight w:val="none"/>
        </w:rPr>
        <w:t>2）以三个试件的算术平均值作为该组试件的</w:t>
      </w:r>
      <w:r>
        <w:rPr>
          <w:rFonts w:hint="eastAsia"/>
          <w:color w:val="auto"/>
          <w:highlight w:val="none"/>
          <w:lang w:eastAsia="zh"/>
          <w:woUserID w:val="3"/>
        </w:rPr>
        <w:t>等效弯曲强度和</w:t>
      </w:r>
      <w:r>
        <w:rPr>
          <w:rFonts w:hint="eastAsia"/>
          <w:color w:val="auto"/>
          <w:highlight w:val="none"/>
        </w:rPr>
        <w:t>弯曲韧性比。</w:t>
      </w:r>
    </w:p>
    <w:p w14:paraId="5C4893DF">
      <w:pPr>
        <w:widowControl/>
        <w:kinsoku/>
        <w:overflowPunct/>
        <w:bidi w:val="0"/>
        <w:spacing w:line="360" w:lineRule="auto"/>
        <w:jc w:val="left"/>
        <w:rPr>
          <w:color w:val="auto"/>
          <w:highlight w:val="none"/>
        </w:rPr>
      </w:pPr>
    </w:p>
    <w:p w14:paraId="6D395011">
      <w:pPr>
        <w:pStyle w:val="65"/>
        <w:kinsoku/>
        <w:overflowPunct/>
        <w:bidi w:val="0"/>
        <w:spacing w:before="156" w:beforeLines="50" w:after="156" w:afterLines="50" w:line="360" w:lineRule="auto"/>
        <w:outlineLvl w:val="1"/>
        <w:rPr>
          <w:color w:val="auto"/>
          <w:highlight w:val="none"/>
        </w:rPr>
      </w:pPr>
      <w:bookmarkStart w:id="36" w:name="_Toc21411"/>
      <w:r>
        <w:rPr>
          <w:rFonts w:hint="eastAsia"/>
          <w:color w:val="auto"/>
          <w:highlight w:val="none"/>
        </w:rPr>
        <w:t>6.6 抗拉性能试验</w:t>
      </w:r>
      <w:bookmarkEnd w:id="36"/>
    </w:p>
    <w:p w14:paraId="426401BA">
      <w:pPr>
        <w:kinsoku/>
        <w:overflowPunct/>
        <w:bidi w:val="0"/>
        <w:spacing w:before="156" w:beforeLines="50" w:line="360" w:lineRule="auto"/>
        <w:rPr>
          <w:color w:val="auto"/>
          <w:szCs w:val="21"/>
          <w:highlight w:val="none"/>
          <w:lang w:val="nb-NO"/>
        </w:rPr>
      </w:pPr>
      <w:r>
        <w:rPr>
          <w:rFonts w:hint="eastAsia"/>
          <w:color w:val="auto"/>
          <w:highlight w:val="none"/>
        </w:rPr>
        <w:t>6.6</w:t>
      </w:r>
      <w:r>
        <w:rPr>
          <w:color w:val="auto"/>
          <w:highlight w:val="none"/>
        </w:rPr>
        <w:t>.1</w:t>
      </w:r>
      <w:r>
        <w:rPr>
          <w:rFonts w:hint="eastAsia"/>
          <w:color w:val="auto"/>
          <w:szCs w:val="21"/>
          <w:highlight w:val="none"/>
        </w:rPr>
        <w:t xml:space="preserve"> 测定超高性能</w:t>
      </w:r>
      <w:r>
        <w:rPr>
          <w:rFonts w:hint="eastAsia"/>
          <w:color w:val="auto"/>
          <w:szCs w:val="21"/>
          <w:highlight w:val="none"/>
          <w:lang w:val="nb-NO"/>
        </w:rPr>
        <w:t>混凝土抗拉性能试验的试件尺寸、数量和加固应符合下列规定：</w:t>
      </w:r>
    </w:p>
    <w:p w14:paraId="63146BB6">
      <w:pPr>
        <w:kinsoku/>
        <w:overflowPunct/>
        <w:bidi w:val="0"/>
        <w:spacing w:before="156" w:beforeLines="50" w:line="360" w:lineRule="auto"/>
        <w:ind w:firstLine="315" w:firstLineChars="150"/>
        <w:rPr>
          <w:color w:val="auto"/>
          <w:highlight w:val="none"/>
        </w:rPr>
      </w:pPr>
      <w:r>
        <w:rPr>
          <w:rFonts w:hint="eastAsia"/>
          <w:color w:val="auto"/>
          <w:highlight w:val="none"/>
        </w:rPr>
        <w:t>1 抗拉性能试验试件尺寸见图6.6.1-1，其中B-C弧段由包括B、C点在内的21个点连接而成的20条线段组成，每个点的坐标应按表6.6.1确定。F-E、I-J、M-L弧段构成同B-C弧段。</w:t>
      </w:r>
    </w:p>
    <w:p w14:paraId="217505DA">
      <w:pPr>
        <w:kinsoku/>
        <w:overflowPunct/>
        <w:bidi w:val="0"/>
        <w:spacing w:before="156" w:beforeLines="50" w:line="360" w:lineRule="auto"/>
        <w:ind w:firstLine="315" w:firstLineChars="150"/>
        <w:rPr>
          <w:color w:val="auto"/>
          <w:highlight w:val="none"/>
        </w:rPr>
      </w:pPr>
      <w:r>
        <w:rPr>
          <w:rFonts w:hint="eastAsia"/>
          <w:color w:val="auto"/>
          <w:highlight w:val="none"/>
        </w:rPr>
        <w:t>2 抗拉性能试验试件的厚度为</w:t>
      </w:r>
      <w:r>
        <w:rPr>
          <w:color w:val="auto"/>
          <w:highlight w:val="none"/>
        </w:rPr>
        <w:t>5</w:t>
      </w:r>
      <w:r>
        <w:rPr>
          <w:rFonts w:hint="eastAsia"/>
          <w:color w:val="auto"/>
          <w:highlight w:val="none"/>
        </w:rPr>
        <w:t>0mm</w:t>
      </w:r>
      <w:r>
        <w:rPr>
          <w:rFonts w:hint="eastAsia"/>
          <w:color w:val="auto"/>
          <w:highlight w:val="none"/>
          <w:lang w:eastAsia="zh-CN"/>
        </w:rPr>
        <w:t>。</w:t>
      </w:r>
    </w:p>
    <w:p w14:paraId="6B24DBB4">
      <w:pPr>
        <w:kinsoku/>
        <w:overflowPunct/>
        <w:bidi w:val="0"/>
        <w:spacing w:before="156" w:beforeLines="50" w:line="360" w:lineRule="auto"/>
        <w:jc w:val="center"/>
        <w:rPr>
          <w:color w:val="auto"/>
          <w:szCs w:val="21"/>
          <w:highlight w:val="none"/>
          <w:lang w:val="nb-NO"/>
        </w:rPr>
      </w:pPr>
      <w:r>
        <w:rPr>
          <w:color w:val="auto"/>
          <w:szCs w:val="21"/>
          <w:highlight w:val="none"/>
          <w:lang w:val="nb-NO"/>
        </w:rPr>
        <w:drawing>
          <wp:inline distT="0" distB="0" distL="114300" distR="114300">
            <wp:extent cx="4319905" cy="1548130"/>
            <wp:effectExtent l="0" t="0" r="4445" b="13970"/>
            <wp:docPr id="1733462048" name="图片 173346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62048" name="图片 1733462048"/>
                    <pic:cNvPicPr>
                      <a:picLocks noChangeAspect="1"/>
                    </pic:cNvPicPr>
                  </pic:nvPicPr>
                  <pic:blipFill>
                    <a:blip r:embed="rId97"/>
                    <a:srcRect b="58956"/>
                    <a:stretch>
                      <a:fillRect/>
                    </a:stretch>
                  </pic:blipFill>
                  <pic:spPr>
                    <a:xfrm>
                      <a:off x="0" y="0"/>
                      <a:ext cx="4319905" cy="1548130"/>
                    </a:xfrm>
                    <a:prstGeom prst="rect">
                      <a:avLst/>
                    </a:prstGeom>
                    <a:noFill/>
                    <a:ln>
                      <a:noFill/>
                    </a:ln>
                  </pic:spPr>
                </pic:pic>
              </a:graphicData>
            </a:graphic>
          </wp:inline>
        </w:drawing>
      </w:r>
    </w:p>
    <w:p w14:paraId="000D7591">
      <w:pPr>
        <w:kinsoku/>
        <w:overflowPunct/>
        <w:bidi w:val="0"/>
        <w:spacing w:before="156" w:beforeLines="50" w:line="360" w:lineRule="auto"/>
        <w:jc w:val="center"/>
        <w:rPr>
          <w:color w:val="auto"/>
          <w:highlight w:val="none"/>
        </w:rPr>
      </w:pPr>
      <w:r>
        <w:rPr>
          <w:rFonts w:hint="eastAsia"/>
          <w:color w:val="auto"/>
          <w:highlight w:val="none"/>
        </w:rPr>
        <w:t>（a）</w:t>
      </w:r>
      <w:r>
        <w:rPr>
          <w:rFonts w:hint="eastAsia"/>
          <w:color w:val="auto"/>
          <w:szCs w:val="21"/>
          <w:highlight w:val="none"/>
          <w:lang w:val="nb-NO"/>
        </w:rPr>
        <w:t>试件</w:t>
      </w:r>
      <w:r>
        <w:rPr>
          <w:rFonts w:hint="eastAsia"/>
          <w:color w:val="auto"/>
          <w:highlight w:val="none"/>
        </w:rPr>
        <w:t>俯视图</w:t>
      </w:r>
    </w:p>
    <w:p w14:paraId="1F63E1D1">
      <w:pPr>
        <w:kinsoku/>
        <w:overflowPunct/>
        <w:bidi w:val="0"/>
        <w:spacing w:before="156" w:beforeLines="50" w:line="360" w:lineRule="auto"/>
        <w:jc w:val="center"/>
        <w:rPr>
          <w:color w:val="auto"/>
          <w:szCs w:val="21"/>
          <w:highlight w:val="none"/>
          <w:lang w:val="nb-NO"/>
        </w:rPr>
      </w:pPr>
      <w:r>
        <w:rPr>
          <w:color w:val="auto"/>
          <w:szCs w:val="21"/>
          <w:highlight w:val="none"/>
          <w:lang w:val="nb-NO"/>
        </w:rPr>
        <w:drawing>
          <wp:inline distT="0" distB="0" distL="0" distR="0">
            <wp:extent cx="4345940" cy="753745"/>
            <wp:effectExtent l="0" t="0" r="0" b="8255"/>
            <wp:docPr id="83727654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76542" name="图片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68806" cy="757766"/>
                    </a:xfrm>
                    <a:prstGeom prst="rect">
                      <a:avLst/>
                    </a:prstGeom>
                    <a:noFill/>
                  </pic:spPr>
                </pic:pic>
              </a:graphicData>
            </a:graphic>
          </wp:inline>
        </w:drawing>
      </w:r>
    </w:p>
    <w:p w14:paraId="55DAD3DC">
      <w:pPr>
        <w:kinsoku/>
        <w:overflowPunct/>
        <w:bidi w:val="0"/>
        <w:spacing w:before="156" w:beforeLines="50" w:line="360" w:lineRule="auto"/>
        <w:jc w:val="center"/>
        <w:rPr>
          <w:color w:val="auto"/>
          <w:highlight w:val="none"/>
        </w:rPr>
      </w:pPr>
      <w:r>
        <w:rPr>
          <w:rFonts w:hint="eastAsia"/>
          <w:color w:val="auto"/>
          <w:highlight w:val="none"/>
        </w:rPr>
        <w:t>（b）试件正视图</w:t>
      </w:r>
    </w:p>
    <w:p w14:paraId="60BCC6F5">
      <w:pPr>
        <w:kinsoku/>
        <w:overflowPunct/>
        <w:bidi w:val="0"/>
        <w:spacing w:before="156" w:beforeLines="50" w:line="360" w:lineRule="auto"/>
        <w:jc w:val="center"/>
        <w:rPr>
          <w:color w:val="auto"/>
          <w:highlight w:val="none"/>
        </w:rPr>
      </w:pPr>
      <w:r>
        <w:rPr>
          <w:rFonts w:hint="eastAsia"/>
          <w:color w:val="auto"/>
          <w:highlight w:val="none"/>
        </w:rPr>
        <w:t>图6.6.1-1 抗拉性能试验</w:t>
      </w:r>
      <w:r>
        <w:rPr>
          <w:rFonts w:hint="eastAsia"/>
          <w:color w:val="auto"/>
          <w:szCs w:val="21"/>
          <w:highlight w:val="none"/>
          <w:lang w:val="nb-NO"/>
        </w:rPr>
        <w:t>试件</w:t>
      </w:r>
      <w:r>
        <w:rPr>
          <w:rFonts w:hint="eastAsia"/>
          <w:color w:val="auto"/>
          <w:highlight w:val="none"/>
        </w:rPr>
        <w:t>尺寸示意</w:t>
      </w:r>
    </w:p>
    <w:p w14:paraId="45297FAB">
      <w:pPr>
        <w:kinsoku/>
        <w:overflowPunct/>
        <w:bidi w:val="0"/>
        <w:spacing w:before="156" w:beforeLines="50" w:line="360" w:lineRule="auto"/>
        <w:jc w:val="center"/>
        <w:rPr>
          <w:color w:val="auto"/>
          <w:highlight w:val="none"/>
        </w:rPr>
      </w:pPr>
      <w:r>
        <w:rPr>
          <w:rFonts w:hint="eastAsia"/>
          <w:color w:val="auto"/>
          <w:highlight w:val="none"/>
        </w:rPr>
        <w:t>表6.6.1 B-C弧段内各连接点坐标</w:t>
      </w:r>
    </w:p>
    <w:p w14:paraId="0D7CA3FD">
      <w:pPr>
        <w:kinsoku/>
        <w:overflowPunct/>
        <w:bidi w:val="0"/>
        <w:spacing w:before="156" w:beforeLines="50" w:line="360" w:lineRule="auto"/>
        <w:jc w:val="center"/>
        <w:rPr>
          <w:color w:val="auto"/>
          <w:highlight w:val="none"/>
        </w:rPr>
      </w:pPr>
      <w:r>
        <w:rPr>
          <w:color w:val="auto"/>
          <w:szCs w:val="21"/>
          <w:highlight w:val="none"/>
          <w:lang w:val="nb-NO"/>
        </w:rPr>
        <w:drawing>
          <wp:inline distT="0" distB="0" distL="114300" distR="114300">
            <wp:extent cx="4679950" cy="2306955"/>
            <wp:effectExtent l="0" t="0" r="6350" b="17145"/>
            <wp:docPr id="757132585" name="图片 75713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32585" name="图片 757132585"/>
                    <pic:cNvPicPr>
                      <a:picLocks noChangeAspect="1"/>
                    </pic:cNvPicPr>
                  </pic:nvPicPr>
                  <pic:blipFill>
                    <a:blip r:embed="rId99"/>
                    <a:stretch>
                      <a:fillRect/>
                    </a:stretch>
                  </pic:blipFill>
                  <pic:spPr>
                    <a:xfrm>
                      <a:off x="0" y="0"/>
                      <a:ext cx="4679950" cy="2306955"/>
                    </a:xfrm>
                    <a:prstGeom prst="rect">
                      <a:avLst/>
                    </a:prstGeom>
                    <a:noFill/>
                    <a:ln>
                      <a:noFill/>
                    </a:ln>
                  </pic:spPr>
                </pic:pic>
              </a:graphicData>
            </a:graphic>
          </wp:inline>
        </w:drawing>
      </w:r>
    </w:p>
    <w:p w14:paraId="24F6DED5">
      <w:pPr>
        <w:kinsoku/>
        <w:overflowPunct/>
        <w:bidi w:val="0"/>
        <w:spacing w:before="156" w:beforeLines="50" w:line="360" w:lineRule="auto"/>
        <w:ind w:firstLine="315" w:firstLineChars="150"/>
        <w:rPr>
          <w:color w:val="auto"/>
          <w:highlight w:val="none"/>
        </w:rPr>
      </w:pPr>
      <w:r>
        <w:rPr>
          <w:color w:val="auto"/>
          <w:highlight w:val="none"/>
        </w:rPr>
        <w:t xml:space="preserve">3 </w:t>
      </w:r>
      <w:r>
        <w:rPr>
          <w:rFonts w:hint="eastAsia"/>
          <w:color w:val="auto"/>
          <w:highlight w:val="none"/>
        </w:rPr>
        <w:t>抗拉性能试验前宜对试件进行加固处理，试件加固应符合以下规定：</w:t>
      </w:r>
    </w:p>
    <w:p w14:paraId="64A936F0">
      <w:pPr>
        <w:kinsoku/>
        <w:overflowPunct/>
        <w:bidi w:val="0"/>
        <w:spacing w:before="156" w:beforeLines="50" w:line="360" w:lineRule="auto"/>
        <w:ind w:firstLine="420" w:firstLineChars="200"/>
        <w:rPr>
          <w:color w:val="auto"/>
          <w:highlight w:val="none"/>
        </w:rPr>
      </w:pPr>
      <w:r>
        <w:rPr>
          <w:color w:val="auto"/>
          <w:highlight w:val="none"/>
        </w:rPr>
        <w:t>1</w:t>
      </w:r>
      <w:r>
        <w:rPr>
          <w:rFonts w:hint="eastAsia"/>
          <w:color w:val="auto"/>
          <w:highlight w:val="none"/>
        </w:rPr>
        <w:t>）加固区域应包括试件两端夹持段的前</w:t>
      </w:r>
      <w:r>
        <w:rPr>
          <w:color w:val="auto"/>
          <w:highlight w:val="none"/>
        </w:rPr>
        <w:t>-</w:t>
      </w:r>
      <w:r>
        <w:rPr>
          <w:rFonts w:hint="eastAsia"/>
          <w:color w:val="auto"/>
          <w:highlight w:val="none"/>
        </w:rPr>
        <w:t>后面（图</w:t>
      </w:r>
      <w:r>
        <w:rPr>
          <w:color w:val="auto"/>
          <w:highlight w:val="none"/>
        </w:rPr>
        <w:t>6.6.1-2</w:t>
      </w:r>
      <w:r>
        <w:rPr>
          <w:rFonts w:hint="eastAsia"/>
          <w:color w:val="auto"/>
          <w:highlight w:val="none"/>
        </w:rPr>
        <w:t>）；</w:t>
      </w:r>
    </w:p>
    <w:p w14:paraId="4F5B774B">
      <w:pPr>
        <w:kinsoku/>
        <w:overflowPunct/>
        <w:bidi w:val="0"/>
        <w:spacing w:before="156" w:beforeLines="50" w:line="360" w:lineRule="auto"/>
        <w:ind w:firstLine="420" w:firstLineChars="200"/>
        <w:rPr>
          <w:color w:val="auto"/>
          <w:highlight w:val="none"/>
        </w:rPr>
      </w:pPr>
      <w:r>
        <w:rPr>
          <w:color w:val="auto"/>
          <w:highlight w:val="none"/>
        </w:rPr>
        <w:t>2</w:t>
      </w:r>
      <w:r>
        <w:rPr>
          <w:rFonts w:hint="eastAsia"/>
          <w:color w:val="auto"/>
          <w:highlight w:val="none"/>
        </w:rPr>
        <w:t>）宜采用碳纤维布进行加固</w:t>
      </w:r>
      <w:r>
        <w:rPr>
          <w:rFonts w:hint="eastAsia"/>
          <w:color w:val="auto"/>
          <w:highlight w:val="none"/>
          <w:lang w:eastAsia="zh"/>
          <w:woUserID w:val="3"/>
        </w:rPr>
        <w:t>，碳纤维布经线方向与试件长度方向（直拉方向）一致；根据预计的UHPC抗拉性能等级加固层数宜为1~2层；</w:t>
      </w:r>
      <w:r>
        <w:rPr>
          <w:rFonts w:hint="eastAsia"/>
          <w:color w:val="auto"/>
          <w:highlight w:val="none"/>
        </w:rPr>
        <w:t>碳纤维布单位质量面积不宜小于200g/m</w:t>
      </w:r>
      <w:r>
        <w:rPr>
          <w:color w:val="auto"/>
          <w:highlight w:val="none"/>
          <w:vertAlign w:val="superscript"/>
        </w:rPr>
        <w:t>2</w:t>
      </w:r>
      <w:r>
        <w:rPr>
          <w:rFonts w:hint="eastAsia"/>
          <w:color w:val="auto"/>
          <w:highlight w:val="none"/>
        </w:rPr>
        <w:t>，力学性能应符合</w:t>
      </w:r>
      <w:r>
        <w:rPr>
          <w:color w:val="auto"/>
          <w:highlight w:val="none"/>
        </w:rPr>
        <w:t>GB/T 50728</w:t>
      </w:r>
      <w:r>
        <w:rPr>
          <w:rFonts w:hint="eastAsia"/>
          <w:color w:val="auto"/>
          <w:highlight w:val="none"/>
        </w:rPr>
        <w:t>高强I级的要求；</w:t>
      </w:r>
    </w:p>
    <w:p w14:paraId="76B8ED73">
      <w:pPr>
        <w:kinsoku/>
        <w:overflowPunct/>
        <w:bidi w:val="0"/>
        <w:spacing w:before="156" w:beforeLines="50" w:line="360" w:lineRule="auto"/>
        <w:ind w:firstLine="420" w:firstLineChars="200"/>
        <w:rPr>
          <w:color w:val="auto"/>
          <w:highlight w:val="none"/>
        </w:rPr>
      </w:pPr>
      <w:r>
        <w:rPr>
          <w:color w:val="auto"/>
          <w:highlight w:val="none"/>
        </w:rPr>
        <w:t>3</w:t>
      </w:r>
      <w:r>
        <w:rPr>
          <w:rFonts w:hint="eastAsia"/>
          <w:color w:val="auto"/>
          <w:highlight w:val="none"/>
        </w:rPr>
        <w:t>）应采用与碳纤维布配套的粘贴用树脂材料，包括底层树脂、浸渍树脂等；浸渍树脂力学性能应符合GB/T 50728 I类A级胶的要求。</w:t>
      </w:r>
    </w:p>
    <w:p w14:paraId="7325B43F">
      <w:pPr>
        <w:kinsoku/>
        <w:overflowPunct/>
        <w:bidi w:val="0"/>
        <w:spacing w:before="156" w:beforeLines="50" w:line="360" w:lineRule="auto"/>
        <w:ind w:firstLine="315" w:firstLineChars="150"/>
        <w:jc w:val="center"/>
        <w:rPr>
          <w:color w:val="auto"/>
          <w:highlight w:val="none"/>
        </w:rPr>
      </w:pPr>
      <w:r>
        <w:rPr>
          <w:color w:val="auto"/>
          <w:highlight w:val="none"/>
        </w:rPr>
        <w:drawing>
          <wp:inline distT="0" distB="0" distL="0" distR="0">
            <wp:extent cx="3808730" cy="1011555"/>
            <wp:effectExtent l="0" t="0" r="1270" b="0"/>
            <wp:docPr id="168303818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38187" name="图片 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821216" cy="1015308"/>
                    </a:xfrm>
                    <a:prstGeom prst="rect">
                      <a:avLst/>
                    </a:prstGeom>
                    <a:noFill/>
                  </pic:spPr>
                </pic:pic>
              </a:graphicData>
            </a:graphic>
          </wp:inline>
        </w:drawing>
      </w:r>
    </w:p>
    <w:p w14:paraId="6F1701C8">
      <w:pPr>
        <w:kinsoku/>
        <w:overflowPunct/>
        <w:bidi w:val="0"/>
        <w:spacing w:before="156" w:beforeLines="50" w:line="360" w:lineRule="auto"/>
        <w:jc w:val="center"/>
        <w:rPr>
          <w:color w:val="auto"/>
          <w:highlight w:val="none"/>
        </w:rPr>
      </w:pPr>
      <w:r>
        <w:rPr>
          <w:rFonts w:hint="eastAsia"/>
          <w:color w:val="auto"/>
          <w:highlight w:val="none"/>
        </w:rPr>
        <w:t>图6.6.1-2 抗拉性能试验</w:t>
      </w:r>
      <w:r>
        <w:rPr>
          <w:rFonts w:hint="eastAsia"/>
          <w:color w:val="auto"/>
          <w:szCs w:val="21"/>
          <w:highlight w:val="none"/>
          <w:lang w:val="nb-NO"/>
        </w:rPr>
        <w:t>试件</w:t>
      </w:r>
      <w:r>
        <w:rPr>
          <w:rFonts w:hint="eastAsia"/>
          <w:color w:val="auto"/>
          <w:highlight w:val="none"/>
        </w:rPr>
        <w:t>加固示意</w:t>
      </w:r>
    </w:p>
    <w:p w14:paraId="216E42C8">
      <w:pPr>
        <w:kinsoku/>
        <w:overflowPunct/>
        <w:bidi w:val="0"/>
        <w:spacing w:before="156" w:beforeLines="50" w:line="360" w:lineRule="auto"/>
        <w:ind w:firstLine="315" w:firstLineChars="150"/>
        <w:rPr>
          <w:color w:val="auto"/>
          <w:highlight w:val="none"/>
        </w:rPr>
      </w:pPr>
      <w:r>
        <w:rPr>
          <w:rFonts w:hint="eastAsia"/>
          <w:color w:val="auto"/>
          <w:highlight w:val="none"/>
        </w:rPr>
        <w:t>4 每组试件数量应为6个。</w:t>
      </w:r>
    </w:p>
    <w:p w14:paraId="19F30D6E">
      <w:pPr>
        <w:kinsoku/>
        <w:overflowPunct/>
        <w:bidi w:val="0"/>
        <w:spacing w:before="156" w:beforeLines="50" w:line="360" w:lineRule="auto"/>
        <w:rPr>
          <w:color w:val="auto"/>
          <w:highlight w:val="none"/>
        </w:rPr>
      </w:pPr>
      <w:r>
        <w:rPr>
          <w:rFonts w:hint="eastAsia"/>
          <w:color w:val="auto"/>
          <w:highlight w:val="none"/>
        </w:rPr>
        <w:t>6.6</w:t>
      </w:r>
      <w:r>
        <w:rPr>
          <w:color w:val="auto"/>
          <w:highlight w:val="none"/>
        </w:rPr>
        <w:t>.</w:t>
      </w:r>
      <w:r>
        <w:rPr>
          <w:rFonts w:hint="eastAsia"/>
          <w:color w:val="auto"/>
          <w:highlight w:val="none"/>
        </w:rPr>
        <w:t>2</w:t>
      </w:r>
      <w:r>
        <w:rPr>
          <w:color w:val="auto"/>
          <w:highlight w:val="none"/>
        </w:rPr>
        <w:t>试验</w:t>
      </w:r>
      <w:r>
        <w:rPr>
          <w:rFonts w:hint="eastAsia"/>
          <w:color w:val="auto"/>
          <w:highlight w:val="none"/>
        </w:rPr>
        <w:t>采用的</w:t>
      </w:r>
      <w:r>
        <w:rPr>
          <w:color w:val="auto"/>
          <w:highlight w:val="none"/>
        </w:rPr>
        <w:t>设备应符合下列规定</w:t>
      </w:r>
      <w:r>
        <w:rPr>
          <w:rFonts w:hint="eastAsia"/>
          <w:color w:val="auto"/>
          <w:highlight w:val="none"/>
        </w:rPr>
        <w:t>。</w:t>
      </w:r>
    </w:p>
    <w:p w14:paraId="10351DD7">
      <w:pPr>
        <w:kinsoku/>
        <w:overflowPunct/>
        <w:bidi w:val="0"/>
        <w:spacing w:before="156" w:beforeLines="50" w:line="360" w:lineRule="auto"/>
        <w:ind w:firstLine="315" w:firstLineChars="150"/>
        <w:rPr>
          <w:color w:val="auto"/>
          <w:highlight w:val="none"/>
        </w:rPr>
      </w:pPr>
      <w:r>
        <w:rPr>
          <w:rFonts w:hint="eastAsia"/>
          <w:color w:val="auto"/>
          <w:highlight w:val="none"/>
        </w:rPr>
        <w:t>1</w:t>
      </w:r>
      <w:r>
        <w:rPr>
          <w:color w:val="auto"/>
          <w:highlight w:val="none"/>
        </w:rPr>
        <w:t xml:space="preserve"> 拉力试验机应符合下列规定</w:t>
      </w:r>
      <w:r>
        <w:rPr>
          <w:rFonts w:hint="eastAsia"/>
          <w:color w:val="auto"/>
          <w:highlight w:val="none"/>
        </w:rPr>
        <w:t>：</w:t>
      </w:r>
    </w:p>
    <w:p w14:paraId="60C680CB">
      <w:pPr>
        <w:widowControl/>
        <w:kinsoku/>
        <w:overflowPunct/>
        <w:bidi w:val="0"/>
        <w:spacing w:before="50" w:line="360" w:lineRule="auto"/>
        <w:ind w:left="420"/>
        <w:jc w:val="left"/>
        <w:rPr>
          <w:color w:val="auto"/>
          <w:highlight w:val="none"/>
        </w:rPr>
      </w:pPr>
      <w:r>
        <w:rPr>
          <w:rFonts w:hint="eastAsia"/>
          <w:color w:val="auto"/>
          <w:highlight w:val="none"/>
        </w:rPr>
        <w:t>1）试件破坏荷载宜大于拉力试验机全量程的20%且宜小于拉力试验机全量程的80%；</w:t>
      </w:r>
    </w:p>
    <w:p w14:paraId="3A47D4B9">
      <w:pPr>
        <w:widowControl/>
        <w:kinsoku/>
        <w:overflowPunct/>
        <w:bidi w:val="0"/>
        <w:spacing w:before="50" w:line="360" w:lineRule="auto"/>
        <w:ind w:left="420"/>
        <w:jc w:val="left"/>
        <w:rPr>
          <w:color w:val="auto"/>
          <w:highlight w:val="none"/>
        </w:rPr>
      </w:pPr>
      <w:r>
        <w:rPr>
          <w:rFonts w:hint="eastAsia"/>
          <w:color w:val="auto"/>
          <w:highlight w:val="none"/>
        </w:rPr>
        <w:t>2）示值相对误差应为±1%；</w:t>
      </w:r>
    </w:p>
    <w:p w14:paraId="70B8830A">
      <w:pPr>
        <w:widowControl/>
        <w:kinsoku/>
        <w:overflowPunct/>
        <w:bidi w:val="0"/>
        <w:spacing w:before="50" w:line="360" w:lineRule="auto"/>
        <w:ind w:left="420"/>
        <w:jc w:val="left"/>
        <w:rPr>
          <w:color w:val="auto"/>
          <w:highlight w:val="none"/>
        </w:rPr>
      </w:pPr>
      <w:r>
        <w:rPr>
          <w:rFonts w:hint="eastAsia"/>
          <w:color w:val="auto"/>
          <w:highlight w:val="none"/>
        </w:rPr>
        <w:t>3）应具有加荷速度指示装置或加荷速度控制装置，并应能均匀、连续地加荷；</w:t>
      </w:r>
    </w:p>
    <w:p w14:paraId="7187FB8F">
      <w:pPr>
        <w:widowControl/>
        <w:kinsoku/>
        <w:overflowPunct/>
        <w:bidi w:val="0"/>
        <w:spacing w:before="50" w:line="360" w:lineRule="auto"/>
        <w:ind w:left="420"/>
        <w:jc w:val="left"/>
        <w:rPr>
          <w:color w:val="auto"/>
          <w:highlight w:val="none"/>
        </w:rPr>
      </w:pPr>
      <w:r>
        <w:rPr>
          <w:rFonts w:hint="eastAsia"/>
          <w:color w:val="auto"/>
          <w:highlight w:val="none"/>
        </w:rPr>
        <w:t>4）</w:t>
      </w:r>
      <w:r>
        <w:rPr>
          <w:color w:val="auto"/>
          <w:highlight w:val="none"/>
        </w:rPr>
        <w:t>其拉伸间距不应小于</w:t>
      </w:r>
      <w:r>
        <w:rPr>
          <w:rFonts w:hint="eastAsia"/>
          <w:color w:val="auto"/>
          <w:highlight w:val="none"/>
        </w:rPr>
        <w:t>800mm；</w:t>
      </w:r>
    </w:p>
    <w:p w14:paraId="08CA9091">
      <w:pPr>
        <w:widowControl/>
        <w:kinsoku/>
        <w:overflowPunct/>
        <w:bidi w:val="0"/>
        <w:spacing w:before="50" w:line="360" w:lineRule="auto"/>
        <w:ind w:left="420"/>
        <w:jc w:val="left"/>
        <w:rPr>
          <w:color w:val="auto"/>
          <w:highlight w:val="none"/>
        </w:rPr>
      </w:pPr>
      <w:r>
        <w:rPr>
          <w:rFonts w:hint="eastAsia"/>
          <w:color w:val="auto"/>
          <w:highlight w:val="none"/>
        </w:rPr>
        <w:t>5）其他要求应符合现行国家标准《液压式万能试验机》GB/T 3159和《试验机通用技术要求》GB/T 2611的有关规定。</w:t>
      </w:r>
    </w:p>
    <w:p w14:paraId="5E18C8A4">
      <w:pPr>
        <w:kinsoku/>
        <w:overflowPunct/>
        <w:bidi w:val="0"/>
        <w:spacing w:before="156" w:beforeLines="50" w:line="360" w:lineRule="auto"/>
        <w:ind w:firstLine="315" w:firstLineChars="150"/>
        <w:rPr>
          <w:color w:val="auto"/>
          <w:highlight w:val="none"/>
        </w:rPr>
      </w:pPr>
      <w:r>
        <w:rPr>
          <w:rFonts w:hint="eastAsia"/>
          <w:color w:val="auto"/>
          <w:highlight w:val="none"/>
        </w:rPr>
        <w:t>2</w:t>
      </w:r>
      <w:r>
        <w:rPr>
          <w:color w:val="auto"/>
          <w:highlight w:val="none"/>
        </w:rPr>
        <w:t xml:space="preserve"> </w:t>
      </w:r>
      <w:r>
        <w:rPr>
          <w:color w:val="auto"/>
          <w:szCs w:val="21"/>
          <w:highlight w:val="none"/>
        </w:rPr>
        <w:t>用于</w:t>
      </w:r>
      <w:r>
        <w:rPr>
          <w:color w:val="auto"/>
          <w:highlight w:val="none"/>
        </w:rPr>
        <w:t>微变形测量的仪器装置应符合下列规定</w:t>
      </w:r>
      <w:r>
        <w:rPr>
          <w:rFonts w:hint="eastAsia"/>
          <w:color w:val="auto"/>
          <w:highlight w:val="none"/>
        </w:rPr>
        <w:t>：</w:t>
      </w:r>
    </w:p>
    <w:p w14:paraId="77D61DBB">
      <w:pPr>
        <w:widowControl/>
        <w:kinsoku/>
        <w:overflowPunct/>
        <w:bidi w:val="0"/>
        <w:spacing w:before="50" w:line="360" w:lineRule="auto"/>
        <w:ind w:left="420"/>
        <w:jc w:val="left"/>
        <w:rPr>
          <w:color w:val="auto"/>
          <w:highlight w:val="none"/>
        </w:rPr>
      </w:pPr>
      <w:r>
        <w:rPr>
          <w:rFonts w:hint="eastAsia"/>
          <w:color w:val="auto"/>
          <w:highlight w:val="none"/>
        </w:rPr>
        <w:t>1）用于微变形测量的仪器宜采用位移传感器，也可采用激光测长仪、引伸仪等。采用位移传感器时应备有微变形测量固定架，试件的变形通过微变形测量固定架传递到位移传感器。采用位移传感器测量试件变形时，应备有数据自动采集系统，条件许可时，可采用荷载和位移数据同步采集系统；</w:t>
      </w:r>
    </w:p>
    <w:p w14:paraId="6C3F8D2F">
      <w:pPr>
        <w:widowControl/>
        <w:kinsoku/>
        <w:overflowPunct/>
        <w:bidi w:val="0"/>
        <w:spacing w:before="50" w:line="360" w:lineRule="auto"/>
        <w:ind w:left="420"/>
        <w:jc w:val="left"/>
        <w:rPr>
          <w:color w:val="auto"/>
          <w:highlight w:val="none"/>
        </w:rPr>
      </w:pPr>
      <w:r>
        <w:rPr>
          <w:rFonts w:hint="eastAsia"/>
          <w:color w:val="auto"/>
          <w:highlight w:val="none"/>
        </w:rPr>
        <w:t>2）当采用位移传感器时，其测量精度应为±0.001mm；当采用激光测长仪或引伸仪时，其测量精度应为±0.001%；</w:t>
      </w:r>
    </w:p>
    <w:p w14:paraId="5D1846D3">
      <w:pPr>
        <w:widowControl/>
        <w:kinsoku/>
        <w:overflowPunct/>
        <w:bidi w:val="0"/>
        <w:spacing w:before="50" w:line="360" w:lineRule="auto"/>
        <w:ind w:left="420"/>
        <w:jc w:val="left"/>
        <w:rPr>
          <w:color w:val="auto"/>
          <w:highlight w:val="none"/>
        </w:rPr>
      </w:pPr>
      <w:r>
        <w:rPr>
          <w:rFonts w:hint="eastAsia"/>
          <w:color w:val="auto"/>
          <w:highlight w:val="none"/>
        </w:rPr>
        <w:t>3）微变形测量仪的标距宜为</w:t>
      </w:r>
      <w:r>
        <w:rPr>
          <w:color w:val="auto"/>
          <w:highlight w:val="none"/>
        </w:rPr>
        <w:t>200mm</w:t>
      </w:r>
      <w:r>
        <w:rPr>
          <w:rFonts w:hint="eastAsia"/>
          <w:color w:val="auto"/>
          <w:highlight w:val="none"/>
        </w:rPr>
        <w:t>；</w:t>
      </w:r>
    </w:p>
    <w:p w14:paraId="4AE43805">
      <w:pPr>
        <w:widowControl/>
        <w:kinsoku/>
        <w:overflowPunct/>
        <w:bidi w:val="0"/>
        <w:spacing w:before="50" w:line="360" w:lineRule="auto"/>
        <w:ind w:left="420"/>
        <w:jc w:val="left"/>
        <w:rPr>
          <w:rFonts w:eastAsia="黑体"/>
          <w:color w:val="auto"/>
          <w:kern w:val="0"/>
          <w:szCs w:val="20"/>
          <w:highlight w:val="none"/>
        </w:rPr>
      </w:pPr>
      <w:r>
        <w:rPr>
          <w:color w:val="auto"/>
          <w:highlight w:val="none"/>
        </w:rPr>
        <w:t>4</w:t>
      </w:r>
      <w:r>
        <w:rPr>
          <w:rFonts w:hint="eastAsia"/>
          <w:color w:val="auto"/>
          <w:highlight w:val="none"/>
        </w:rPr>
        <w:t>）微变形测量仪数量宜为</w:t>
      </w:r>
      <w:r>
        <w:rPr>
          <w:color w:val="auto"/>
          <w:highlight w:val="none"/>
        </w:rPr>
        <w:t>4</w:t>
      </w:r>
      <w:r>
        <w:rPr>
          <w:rFonts w:hint="eastAsia"/>
          <w:color w:val="auto"/>
          <w:highlight w:val="none"/>
        </w:rPr>
        <w:t>个。</w:t>
      </w:r>
    </w:p>
    <w:p w14:paraId="0761E525">
      <w:pPr>
        <w:kinsoku/>
        <w:overflowPunct/>
        <w:bidi w:val="0"/>
        <w:spacing w:before="156" w:beforeLines="50" w:line="360" w:lineRule="auto"/>
        <w:rPr>
          <w:color w:val="auto"/>
          <w:highlight w:val="none"/>
        </w:rPr>
      </w:pPr>
      <w:r>
        <w:rPr>
          <w:rFonts w:hint="eastAsia"/>
          <w:color w:val="auto"/>
          <w:highlight w:val="none"/>
        </w:rPr>
        <w:t>6.6</w:t>
      </w:r>
      <w:r>
        <w:rPr>
          <w:color w:val="auto"/>
          <w:highlight w:val="none"/>
        </w:rPr>
        <w:t>.</w:t>
      </w:r>
      <w:r>
        <w:rPr>
          <w:rFonts w:hint="eastAsia"/>
          <w:color w:val="auto"/>
          <w:highlight w:val="none"/>
        </w:rPr>
        <w:t>3</w:t>
      </w:r>
      <w:r>
        <w:rPr>
          <w:color w:val="auto"/>
          <w:highlight w:val="none"/>
        </w:rPr>
        <w:t xml:space="preserve"> </w:t>
      </w:r>
      <w:r>
        <w:rPr>
          <w:rFonts w:hint="eastAsia"/>
          <w:color w:val="auto"/>
          <w:highlight w:val="none"/>
        </w:rPr>
        <w:t>抗拉性能试验应按下列步骤进行：</w:t>
      </w:r>
    </w:p>
    <w:p w14:paraId="51A083C6">
      <w:pPr>
        <w:kinsoku/>
        <w:overflowPunct/>
        <w:bidi w:val="0"/>
        <w:spacing w:before="156" w:beforeLines="50" w:line="360" w:lineRule="auto"/>
        <w:ind w:firstLine="315" w:firstLineChars="150"/>
        <w:rPr>
          <w:color w:val="auto"/>
          <w:highlight w:val="none"/>
        </w:rPr>
      </w:pPr>
      <w:r>
        <w:rPr>
          <w:rFonts w:hint="eastAsia"/>
          <w:color w:val="auto"/>
          <w:highlight w:val="none"/>
        </w:rPr>
        <w:t>1</w:t>
      </w:r>
      <w:r>
        <w:rPr>
          <w:color w:val="auto"/>
          <w:highlight w:val="none"/>
        </w:rPr>
        <w:t xml:space="preserve"> </w:t>
      </w:r>
      <w:r>
        <w:rPr>
          <w:color w:val="auto"/>
          <w:szCs w:val="21"/>
          <w:highlight w:val="none"/>
        </w:rPr>
        <w:t>每个</w:t>
      </w:r>
      <w:r>
        <w:rPr>
          <w:color w:val="auto"/>
          <w:highlight w:val="none"/>
        </w:rPr>
        <w:t>试件在进行抗拉性能试验时，应同时测定弹性</w:t>
      </w:r>
      <w:r>
        <w:rPr>
          <w:rFonts w:hint="default"/>
          <w:color w:val="auto"/>
          <w:highlight w:val="none"/>
          <w:lang w:val="en-US"/>
        </w:rPr>
        <w:t>极限抗拉强度</w:t>
      </w:r>
      <w:r>
        <w:rPr>
          <w:rFonts w:hint="eastAsia"/>
          <w:color w:val="auto"/>
          <w:highlight w:val="none"/>
          <w:lang w:val="en-US" w:eastAsia="zh-CN"/>
        </w:rPr>
        <w:t>、</w:t>
      </w:r>
      <w:r>
        <w:rPr>
          <w:color w:val="auto"/>
          <w:highlight w:val="none"/>
        </w:rPr>
        <w:t>弹性极限拉应变、</w:t>
      </w:r>
      <w:r>
        <w:rPr>
          <w:rFonts w:hint="eastAsia"/>
          <w:color w:val="auto"/>
          <w:highlight w:val="none"/>
          <w:lang w:val="en-US" w:eastAsia="zh-CN"/>
          <w:woUserID w:val="3"/>
        </w:rPr>
        <w:t>弹性拉伸应力</w:t>
      </w:r>
      <w:r>
        <w:rPr>
          <w:color w:val="auto"/>
          <w:highlight w:val="none"/>
          <w:woUserID w:val="3"/>
        </w:rPr>
        <w:t>、</w:t>
      </w:r>
      <w:r>
        <w:rPr>
          <w:color w:val="auto"/>
          <w:highlight w:val="none"/>
        </w:rPr>
        <w:t>拉伸弹性模量、抗拉强度、抗拉应变5个参数，对于抗拉应变小于1</w:t>
      </w:r>
      <w:r>
        <w:rPr>
          <w:rFonts w:hint="eastAsia"/>
          <w:color w:val="auto"/>
          <w:highlight w:val="none"/>
        </w:rPr>
        <w:t>000×10</w:t>
      </w:r>
      <w:r>
        <w:rPr>
          <w:color w:val="auto"/>
          <w:highlight w:val="none"/>
          <w:vertAlign w:val="superscript"/>
        </w:rPr>
        <w:t>-6</w:t>
      </w:r>
      <w:r>
        <w:rPr>
          <w:color w:val="auto"/>
          <w:highlight w:val="none"/>
        </w:rPr>
        <w:t>的试件尚应测定残余抗拉强度</w:t>
      </w:r>
      <w:r>
        <w:rPr>
          <w:rFonts w:hint="eastAsia"/>
          <w:color w:val="auto"/>
          <w:highlight w:val="none"/>
        </w:rPr>
        <w:t>。</w:t>
      </w:r>
    </w:p>
    <w:p w14:paraId="6FE8AE20">
      <w:pPr>
        <w:kinsoku/>
        <w:overflowPunct/>
        <w:bidi w:val="0"/>
        <w:spacing w:before="156" w:beforeLines="50" w:line="360" w:lineRule="auto"/>
        <w:ind w:firstLine="315" w:firstLineChars="150"/>
        <w:rPr>
          <w:color w:val="auto"/>
          <w:highlight w:val="none"/>
        </w:rPr>
      </w:pPr>
      <w:r>
        <w:rPr>
          <w:color w:val="auto"/>
          <w:highlight w:val="none"/>
        </w:rPr>
        <w:t xml:space="preserve">2 </w:t>
      </w:r>
      <w:r>
        <w:rPr>
          <w:rFonts w:hint="eastAsia"/>
          <w:color w:val="auto"/>
          <w:highlight w:val="none"/>
        </w:rPr>
        <w:t>到达试验龄期前</w:t>
      </w:r>
      <w:r>
        <w:rPr>
          <w:color w:val="auto"/>
          <w:highlight w:val="none"/>
        </w:rPr>
        <w:t>7d</w:t>
      </w:r>
      <w:r>
        <w:rPr>
          <w:rFonts w:hint="eastAsia"/>
          <w:color w:val="auto"/>
          <w:highlight w:val="none"/>
        </w:rPr>
        <w:t>时，将试件从养护室取出，待表面水分干燥后，选用适当的打磨机具将试验试件粘贴表面打磨平整。按厂家说明配制粘贴用树脂材料，依次刷涂底层树脂和浸渍树脂，并采用采用专用的辊子顺纤维方向多次辊压并挤除气泡，压时不得损伤碳纤维布。待粘贴树脂固化后，转移至原养护室继续至规定试验龄期。</w:t>
      </w:r>
    </w:p>
    <w:p w14:paraId="15EC19C6">
      <w:pPr>
        <w:kinsoku/>
        <w:overflowPunct/>
        <w:bidi w:val="0"/>
        <w:spacing w:before="156" w:beforeLines="50" w:line="360" w:lineRule="auto"/>
        <w:ind w:firstLine="315" w:firstLineChars="150"/>
        <w:rPr>
          <w:color w:val="auto"/>
          <w:highlight w:val="none"/>
        </w:rPr>
      </w:pPr>
      <w:r>
        <w:rPr>
          <w:rFonts w:hint="eastAsia"/>
          <w:color w:val="auto"/>
          <w:highlight w:val="none"/>
        </w:rPr>
        <w:t>3 到达试验龄期后，将试件放置于试验机上下夹具中，保证上下夹具连接件与超高性能混凝土试件的中轴线一致并对中。在试件弧形段与夹具接触部位宜放置0.5mm～1mm厚的橡胶垫片。将试件上端与试验机上夹头固定，升降拉力试验机至合适高度，调整试件方向，将试件下端固定。</w:t>
      </w:r>
    </w:p>
    <w:p w14:paraId="1DA5886A">
      <w:pPr>
        <w:kinsoku/>
        <w:overflowPunct/>
        <w:bidi w:val="0"/>
        <w:spacing w:before="156" w:beforeLines="50" w:line="360" w:lineRule="auto"/>
        <w:ind w:firstLine="315" w:firstLineChars="150"/>
        <w:rPr>
          <w:color w:val="auto"/>
          <w:highlight w:val="none"/>
        </w:rPr>
      </w:pPr>
      <w:r>
        <w:rPr>
          <w:rFonts w:hint="eastAsia"/>
          <w:color w:val="auto"/>
          <w:highlight w:val="none"/>
        </w:rPr>
        <w:t>4 当</w:t>
      </w:r>
      <w:r>
        <w:rPr>
          <w:rFonts w:hint="eastAsia"/>
          <w:color w:val="auto"/>
          <w:szCs w:val="21"/>
          <w:highlight w:val="none"/>
        </w:rPr>
        <w:t>采用</w:t>
      </w:r>
      <w:r>
        <w:rPr>
          <w:rFonts w:hint="eastAsia"/>
          <w:color w:val="auto"/>
          <w:highlight w:val="none"/>
        </w:rPr>
        <w:t>位移传感器测量变形时，应将位移传感器固定在变形测量架，并由标距定位杆进行定位，然后将变形测量架通过紧固螺钉固定在试件中部。从试件取出至试验完毕，不宜超过4h。应提前做好变形测量的准备工作。</w:t>
      </w:r>
    </w:p>
    <w:p w14:paraId="726F08EC">
      <w:pPr>
        <w:kinsoku/>
        <w:overflowPunct/>
        <w:bidi w:val="0"/>
        <w:spacing w:before="156" w:beforeLines="50" w:line="360" w:lineRule="auto"/>
        <w:ind w:firstLine="315" w:firstLineChars="150"/>
        <w:rPr>
          <w:color w:val="auto"/>
          <w:highlight w:val="none"/>
        </w:rPr>
      </w:pPr>
      <w:r>
        <w:rPr>
          <w:rFonts w:hint="eastAsia"/>
          <w:color w:val="auto"/>
          <w:highlight w:val="none"/>
        </w:rPr>
        <w:t>5 启动试验机进行预拉，预拉荷载相当于破坏荷载的15%～20%。预拉时，应测读</w:t>
      </w:r>
      <w:r>
        <w:rPr>
          <w:color w:val="auto"/>
          <w:highlight w:val="none"/>
        </w:rPr>
        <w:t>4</w:t>
      </w:r>
      <w:r>
        <w:rPr>
          <w:rFonts w:hint="eastAsia"/>
          <w:color w:val="auto"/>
          <w:highlight w:val="none"/>
        </w:rPr>
        <w:t>个侧面的应变值，分别计算对侧面的偏心率。当试件偏心率大于15%时，应对试件重新进行对中调整。偏心率应按下式计算：</w:t>
      </w:r>
    </w:p>
    <w:p w14:paraId="5BBB6035">
      <w:pPr>
        <w:kinsoku/>
        <w:overflowPunct/>
        <w:bidi w:val="0"/>
        <w:spacing w:before="156" w:beforeLines="50" w:line="360" w:lineRule="auto"/>
        <w:ind w:firstLine="315" w:firstLineChars="150"/>
        <w:jc w:val="right"/>
        <w:rPr>
          <w:color w:val="auto"/>
          <w:szCs w:val="21"/>
          <w:highlight w:val="none"/>
        </w:rPr>
      </w:pPr>
      <w:r>
        <w:rPr>
          <w:i/>
          <w:color w:val="auto"/>
          <w:highlight w:val="none"/>
        </w:rPr>
        <w:object>
          <v:shape id="_x0000_i1062" o:spt="75" type="#_x0000_t75" style="height:33.1pt;width:99.25pt;" o:ole="t" filled="f" o:preferrelative="t" stroked="f" coordsize="21600,21600">
            <v:path/>
            <v:fill on="f" focussize="0,0"/>
            <v:stroke on="f" joinstyle="miter"/>
            <v:imagedata r:id="rId102" o:title=""/>
            <o:lock v:ext="edit" aspectratio="t"/>
            <w10:wrap type="none"/>
            <w10:anchorlock/>
          </v:shape>
          <o:OLEObject Type="Embed" ProgID="Equation.DSMT4" ShapeID="_x0000_i1062" DrawAspect="Content" ObjectID="_1468075762" r:id="rId101">
            <o:LockedField>false</o:LockedField>
          </o:OLEObject>
        </w:object>
      </w:r>
      <w:r>
        <w:rPr>
          <w:rFonts w:hint="eastAsia"/>
          <w:color w:val="auto"/>
          <w:szCs w:val="21"/>
          <w:highlight w:val="none"/>
        </w:rPr>
        <w:t xml:space="preserve">                               （6.6.3）</w:t>
      </w:r>
    </w:p>
    <w:p w14:paraId="71EE2B6F">
      <w:pPr>
        <w:pStyle w:val="21"/>
        <w:kinsoku/>
        <w:overflowPunct/>
        <w:bidi w:val="0"/>
        <w:spacing w:line="360" w:lineRule="auto"/>
        <w:rPr>
          <w:rFonts w:ascii="Times New Roman" w:hAnsi="Times New Roman" w:cs="Times New Roman"/>
          <w:color w:val="auto"/>
          <w:highlight w:val="none"/>
        </w:rPr>
      </w:pPr>
      <w:bookmarkStart w:id="37" w:name="_Toc477762479"/>
      <w:r>
        <w:rPr>
          <w:rFonts w:hint="eastAsia" w:ascii="Times New Roman" w:hAnsi="Times New Roman" w:cs="Times New Roman"/>
          <w:color w:val="auto"/>
          <w:highlight w:val="none"/>
        </w:rPr>
        <w:t>式中：</w:t>
      </w:r>
      <w:r>
        <w:rPr>
          <w:rFonts w:ascii="Times New Roman" w:hAnsi="Times New Roman" w:cs="Times New Roman"/>
          <w:i/>
          <w:color w:val="auto"/>
          <w:highlight w:val="none"/>
        </w:rPr>
        <w:t>e</w:t>
      </w:r>
      <w:r>
        <w:rPr>
          <w:rFonts w:hint="eastAsia" w:ascii="Times New Roman" w:hAnsi="Times New Roman" w:cs="Times New Roman"/>
          <w:color w:val="auto"/>
          <w:highlight w:val="none"/>
        </w:rPr>
        <w:t>——偏心率（%）；</w:t>
      </w:r>
      <w:bookmarkEnd w:id="37"/>
    </w:p>
    <w:p w14:paraId="7032FD44">
      <w:pPr>
        <w:kinsoku/>
        <w:overflowPunct/>
        <w:bidi w:val="0"/>
        <w:spacing w:before="156" w:beforeLines="50" w:line="360" w:lineRule="auto"/>
        <w:ind w:firstLine="105" w:firstLineChars="50"/>
        <w:rPr>
          <w:color w:val="auto"/>
          <w:highlight w:val="none"/>
        </w:rPr>
      </w:pPr>
      <w:bookmarkStart w:id="38" w:name="_Toc477762480"/>
      <w:r>
        <w:rPr>
          <w:i/>
          <w:color w:val="auto"/>
          <w:highlight w:val="none"/>
        </w:rPr>
        <w:t>ε</w:t>
      </w:r>
      <w:r>
        <w:rPr>
          <w:color w:val="auto"/>
          <w:highlight w:val="none"/>
          <w:vertAlign w:val="subscript"/>
        </w:rPr>
        <w:t>1</w:t>
      </w:r>
      <w:r>
        <w:rPr>
          <w:color w:val="auto"/>
          <w:highlight w:val="none"/>
        </w:rPr>
        <w:t>、</w:t>
      </w:r>
      <w:r>
        <w:rPr>
          <w:i/>
          <w:color w:val="auto"/>
          <w:highlight w:val="none"/>
        </w:rPr>
        <w:t>ε</w:t>
      </w:r>
      <w:r>
        <w:rPr>
          <w:color w:val="auto"/>
          <w:highlight w:val="none"/>
          <w:vertAlign w:val="subscript"/>
        </w:rPr>
        <w:t>2</w:t>
      </w:r>
      <w:r>
        <w:rPr>
          <w:rFonts w:hint="eastAsia"/>
          <w:color w:val="auto"/>
          <w:highlight w:val="none"/>
        </w:rPr>
        <w:t>——分别为试件对侧面的应变值。</w:t>
      </w:r>
      <w:bookmarkEnd w:id="38"/>
    </w:p>
    <w:p w14:paraId="28B62B57">
      <w:pPr>
        <w:kinsoku/>
        <w:overflowPunct/>
        <w:bidi w:val="0"/>
        <w:spacing w:before="156" w:beforeLines="50" w:line="360" w:lineRule="auto"/>
        <w:ind w:firstLine="315" w:firstLineChars="150"/>
        <w:rPr>
          <w:color w:val="auto"/>
          <w:highlight w:val="none"/>
        </w:rPr>
      </w:pPr>
      <w:r>
        <w:rPr>
          <w:rFonts w:hint="eastAsia"/>
          <w:color w:val="auto"/>
          <w:highlight w:val="none"/>
        </w:rPr>
        <w:t>6 预拉完毕后，进行正式测试。拉伸试验时，对试件进行连续、均匀加荷，宜采用位移控制加荷，加荷速率宜控制在0.2mm/min。当采用位移传感器测量变形时，试件测量标距内的变形应由数据采集系统自动记录，绘制荷载—变形曲线。</w:t>
      </w:r>
    </w:p>
    <w:p w14:paraId="6FA967C4">
      <w:pPr>
        <w:kinsoku/>
        <w:overflowPunct/>
        <w:bidi w:val="0"/>
        <w:spacing w:before="156" w:beforeLines="50" w:line="360" w:lineRule="auto"/>
        <w:ind w:firstLine="315" w:firstLineChars="150"/>
        <w:rPr>
          <w:color w:val="auto"/>
          <w:highlight w:val="none"/>
        </w:rPr>
      </w:pPr>
      <w:r>
        <w:rPr>
          <w:rFonts w:hint="eastAsia"/>
          <w:color w:val="auto"/>
          <w:highlight w:val="none"/>
        </w:rPr>
        <w:t>7 当满足下列条件之一时，应终止加载，停止试验：</w:t>
      </w:r>
    </w:p>
    <w:p w14:paraId="50FECF20">
      <w:pPr>
        <w:widowControl/>
        <w:kinsoku/>
        <w:overflowPunct/>
        <w:bidi w:val="0"/>
        <w:spacing w:line="360" w:lineRule="auto"/>
        <w:ind w:left="420"/>
        <w:jc w:val="left"/>
        <w:rPr>
          <w:color w:val="auto"/>
          <w:highlight w:val="none"/>
        </w:rPr>
      </w:pPr>
      <w:r>
        <w:rPr>
          <w:rFonts w:hint="eastAsia"/>
          <w:color w:val="auto"/>
          <w:highlight w:val="none"/>
        </w:rPr>
        <w:t>1）</w:t>
      </w:r>
      <w:r>
        <w:rPr>
          <w:color w:val="auto"/>
          <w:highlight w:val="none"/>
        </w:rPr>
        <w:t>试件进</w:t>
      </w:r>
      <w:r>
        <w:rPr>
          <w:rFonts w:hint="eastAsia"/>
          <w:color w:val="auto"/>
          <w:highlight w:val="none"/>
        </w:rPr>
        <w:t>入</w:t>
      </w:r>
      <w:r>
        <w:rPr>
          <w:color w:val="auto"/>
          <w:highlight w:val="none"/>
        </w:rPr>
        <w:t>拉伸应变软化阶段后拉应力低于抗拉强度的</w:t>
      </w:r>
      <w:r>
        <w:rPr>
          <w:rFonts w:hint="eastAsia"/>
          <w:color w:val="auto"/>
          <w:highlight w:val="none"/>
        </w:rPr>
        <w:t>30%时；</w:t>
      </w:r>
    </w:p>
    <w:p w14:paraId="5A5CE174">
      <w:pPr>
        <w:widowControl/>
        <w:kinsoku/>
        <w:overflowPunct/>
        <w:bidi w:val="0"/>
        <w:spacing w:line="360" w:lineRule="auto"/>
        <w:ind w:left="420"/>
        <w:jc w:val="left"/>
        <w:rPr>
          <w:color w:val="auto"/>
          <w:highlight w:val="none"/>
        </w:rPr>
      </w:pPr>
      <w:r>
        <w:rPr>
          <w:rFonts w:hint="eastAsia"/>
          <w:color w:val="auto"/>
          <w:highlight w:val="none"/>
        </w:rPr>
        <w:t>2）</w:t>
      </w:r>
      <w:r>
        <w:rPr>
          <w:color w:val="auto"/>
          <w:highlight w:val="none"/>
        </w:rPr>
        <w:t>试件的</w:t>
      </w:r>
      <w:r>
        <w:rPr>
          <w:rFonts w:hint="eastAsia"/>
          <w:color w:val="auto"/>
          <w:highlight w:val="none"/>
        </w:rPr>
        <w:t>抗</w:t>
      </w:r>
      <w:r>
        <w:rPr>
          <w:color w:val="auto"/>
          <w:highlight w:val="none"/>
        </w:rPr>
        <w:t>拉应变达到</w:t>
      </w:r>
      <w:r>
        <w:rPr>
          <w:rFonts w:hint="eastAsia"/>
          <w:color w:val="auto"/>
          <w:highlight w:val="none"/>
        </w:rPr>
        <w:t>10000×10</w:t>
      </w:r>
      <w:r>
        <w:rPr>
          <w:rFonts w:hint="eastAsia"/>
          <w:color w:val="auto"/>
          <w:highlight w:val="none"/>
          <w:vertAlign w:val="superscript"/>
        </w:rPr>
        <w:t>-6</w:t>
      </w:r>
      <w:r>
        <w:rPr>
          <w:color w:val="auto"/>
          <w:highlight w:val="none"/>
        </w:rPr>
        <w:t>。</w:t>
      </w:r>
    </w:p>
    <w:p w14:paraId="38420F62">
      <w:pPr>
        <w:widowControl/>
        <w:kinsoku/>
        <w:overflowPunct/>
        <w:bidi w:val="0"/>
        <w:spacing w:line="360" w:lineRule="auto"/>
        <w:ind w:left="420"/>
        <w:jc w:val="left"/>
        <w:rPr>
          <w:color w:val="auto"/>
          <w:highlight w:val="none"/>
        </w:rPr>
      </w:pPr>
      <w:r>
        <w:rPr>
          <w:rFonts w:hint="eastAsia"/>
          <w:color w:val="auto"/>
          <w:highlight w:val="none"/>
        </w:rPr>
        <w:t>3）拉断</w:t>
      </w:r>
      <w:r>
        <w:rPr>
          <w:color w:val="auto"/>
          <w:highlight w:val="none"/>
        </w:rPr>
        <w:t>。</w:t>
      </w:r>
    </w:p>
    <w:p w14:paraId="59550030">
      <w:pPr>
        <w:kinsoku/>
        <w:overflowPunct/>
        <w:bidi w:val="0"/>
        <w:spacing w:before="156" w:beforeLines="50" w:line="360" w:lineRule="auto"/>
        <w:rPr>
          <w:color w:val="auto"/>
          <w:highlight w:val="none"/>
        </w:rPr>
      </w:pPr>
      <w:r>
        <w:rPr>
          <w:rFonts w:hint="eastAsia"/>
          <w:color w:val="auto"/>
          <w:highlight w:val="none"/>
        </w:rPr>
        <w:t>6.6</w:t>
      </w:r>
      <w:r>
        <w:rPr>
          <w:color w:val="auto"/>
          <w:highlight w:val="none"/>
        </w:rPr>
        <w:t>.</w:t>
      </w:r>
      <w:r>
        <w:rPr>
          <w:rFonts w:hint="eastAsia"/>
          <w:color w:val="auto"/>
          <w:highlight w:val="none"/>
        </w:rPr>
        <w:t>4</w:t>
      </w:r>
      <w:r>
        <w:rPr>
          <w:color w:val="auto"/>
          <w:highlight w:val="none"/>
        </w:rPr>
        <w:t xml:space="preserve"> </w:t>
      </w:r>
      <w:r>
        <w:rPr>
          <w:rFonts w:hint="eastAsia"/>
          <w:color w:val="auto"/>
          <w:highlight w:val="none"/>
        </w:rPr>
        <w:t>超高性能混凝土抗拉性能试验结果计算及确定应按下列方法进行：</w:t>
      </w:r>
    </w:p>
    <w:p w14:paraId="2CF50642">
      <w:pPr>
        <w:kinsoku/>
        <w:overflowPunct/>
        <w:bidi w:val="0"/>
        <w:spacing w:before="156" w:beforeLines="50" w:line="360" w:lineRule="auto"/>
        <w:ind w:firstLine="315" w:firstLineChars="150"/>
        <w:rPr>
          <w:color w:val="auto"/>
          <w:highlight w:val="none"/>
        </w:rPr>
      </w:pPr>
      <w:r>
        <w:rPr>
          <w:rFonts w:hint="eastAsia"/>
          <w:color w:val="auto"/>
          <w:highlight w:val="none"/>
        </w:rPr>
        <w:t>1</w:t>
      </w:r>
      <w:r>
        <w:rPr>
          <w:color w:val="auto"/>
          <w:highlight w:val="none"/>
        </w:rPr>
        <w:t xml:space="preserve"> </w:t>
      </w:r>
      <w:r>
        <w:rPr>
          <w:rFonts w:hint="eastAsia"/>
          <w:color w:val="auto"/>
          <w:highlight w:val="none"/>
        </w:rPr>
        <w:t>确定抗拉弹性极限点。在位移传感器和数据采集系统绘制的荷载—变形曲线中，由线性段转为非线性段的点作为弹性极限点。</w:t>
      </w:r>
    </w:p>
    <w:p w14:paraId="4EFDDD21">
      <w:pPr>
        <w:kinsoku/>
        <w:overflowPunct/>
        <w:bidi w:val="0"/>
        <w:spacing w:before="156" w:beforeLines="50" w:line="360" w:lineRule="auto"/>
        <w:ind w:firstLine="315" w:firstLineChars="150"/>
        <w:rPr>
          <w:color w:val="auto"/>
          <w:highlight w:val="none"/>
        </w:rPr>
      </w:pPr>
      <w:r>
        <w:rPr>
          <w:rFonts w:hint="eastAsia"/>
          <w:color w:val="auto"/>
          <w:highlight w:val="none"/>
        </w:rPr>
        <w:t>2 弹性极限抗拉强度应按下式计算：</w:t>
      </w:r>
    </w:p>
    <w:p w14:paraId="1471BA3A">
      <w:pPr>
        <w:kinsoku/>
        <w:overflowPunct/>
        <w:bidi w:val="0"/>
        <w:spacing w:before="156" w:beforeLines="50" w:line="360" w:lineRule="auto"/>
        <w:ind w:firstLine="315" w:firstLineChars="150"/>
        <w:jc w:val="right"/>
        <w:rPr>
          <w:color w:val="auto"/>
          <w:highlight w:val="none"/>
        </w:rPr>
      </w:pPr>
      <w:r>
        <w:rPr>
          <w:color w:val="auto"/>
          <w:position w:val="-24"/>
          <w:szCs w:val="21"/>
          <w:highlight w:val="none"/>
        </w:rPr>
        <w:object>
          <v:shape id="_x0000_i1063" o:spt="75" type="#_x0000_t75" style="height:31.15pt;width:43.2pt;" o:ole="t" filled="f" o:preferrelative="t" stroked="f" coordsize="21600,21600">
            <v:path/>
            <v:fill on="f" focussize="0,0"/>
            <v:stroke on="f" joinstyle="miter"/>
            <v:imagedata r:id="rId104" o:title=""/>
            <o:lock v:ext="edit" aspectratio="t"/>
            <w10:wrap type="none"/>
            <w10:anchorlock/>
          </v:shape>
          <o:OLEObject Type="Embed" ProgID="Equation.DSMT4" ShapeID="_x0000_i1063" DrawAspect="Content" ObjectID="_1468075763" r:id="rId103">
            <o:LockedField>false</o:LockedField>
          </o:OLEObject>
        </w:object>
      </w:r>
      <w:r>
        <w:rPr>
          <w:rFonts w:hint="eastAsia"/>
          <w:color w:val="auto"/>
          <w:szCs w:val="21"/>
          <w:highlight w:val="none"/>
        </w:rPr>
        <w:t xml:space="preserve">                            （6.6.4-1）</w:t>
      </w:r>
    </w:p>
    <w:p w14:paraId="2F00E6E0">
      <w:pPr>
        <w:kinsoku/>
        <w:overflowPunct/>
        <w:bidi w:val="0"/>
        <w:spacing w:line="360" w:lineRule="auto"/>
        <w:rPr>
          <w:i/>
          <w:iCs/>
          <w:color w:val="auto"/>
          <w:highlight w:val="none"/>
        </w:rPr>
      </w:pPr>
      <w:r>
        <w:rPr>
          <w:rFonts w:hint="eastAsia"/>
          <w:color w:val="auto"/>
          <w:highlight w:val="none"/>
        </w:rPr>
        <w:t>式中：</w:t>
      </w:r>
      <w:r>
        <w:rPr>
          <w:rFonts w:hint="eastAsia"/>
          <w:i/>
          <w:iCs/>
          <w:color w:val="auto"/>
          <w:highlight w:val="none"/>
        </w:rPr>
        <w:t>f</w:t>
      </w:r>
      <w:r>
        <w:rPr>
          <w:rFonts w:hint="eastAsia"/>
          <w:color w:val="auto"/>
          <w:highlight w:val="none"/>
          <w:vertAlign w:val="subscript"/>
        </w:rPr>
        <w:t>te</w:t>
      </w:r>
      <w:r>
        <w:rPr>
          <w:rFonts w:hint="eastAsia"/>
          <w:color w:val="auto"/>
          <w:highlight w:val="none"/>
        </w:rPr>
        <w:t>——弹性极限抗拉强度（MPa），计算结果应精确至0.1MPa；</w:t>
      </w:r>
    </w:p>
    <w:p w14:paraId="50A5F1B8">
      <w:pPr>
        <w:kinsoku/>
        <w:overflowPunct/>
        <w:bidi w:val="0"/>
        <w:spacing w:line="360" w:lineRule="auto"/>
        <w:ind w:firstLine="573" w:firstLineChars="273"/>
        <w:rPr>
          <w:i/>
          <w:iCs/>
          <w:color w:val="auto"/>
          <w:highlight w:val="none"/>
        </w:rPr>
      </w:pPr>
      <w:r>
        <w:rPr>
          <w:rFonts w:hint="eastAsia"/>
          <w:i/>
          <w:iCs/>
          <w:color w:val="auto"/>
          <w:highlight w:val="none"/>
        </w:rPr>
        <w:t>F</w:t>
      </w:r>
      <w:r>
        <w:rPr>
          <w:rFonts w:hint="eastAsia"/>
          <w:color w:val="auto"/>
          <w:highlight w:val="none"/>
          <w:vertAlign w:val="subscript"/>
        </w:rPr>
        <w:t>te</w:t>
      </w:r>
      <w:r>
        <w:rPr>
          <w:rFonts w:hint="eastAsia"/>
          <w:color w:val="auto"/>
          <w:highlight w:val="none"/>
        </w:rPr>
        <w:t>——弹性极限荷载（N），取弹性极限点处的荷载；</w:t>
      </w:r>
    </w:p>
    <w:p w14:paraId="09371197">
      <w:pPr>
        <w:kinsoku/>
        <w:overflowPunct/>
        <w:bidi w:val="0"/>
        <w:spacing w:line="360" w:lineRule="auto"/>
        <w:ind w:firstLine="642" w:firstLineChars="306"/>
        <w:rPr>
          <w:i/>
          <w:iCs/>
          <w:color w:val="auto"/>
          <w:highlight w:val="none"/>
        </w:rPr>
      </w:pPr>
      <w:r>
        <w:rPr>
          <w:rFonts w:hint="eastAsia"/>
          <w:i/>
          <w:iCs/>
          <w:color w:val="auto"/>
          <w:highlight w:val="none"/>
        </w:rPr>
        <w:t>A</w:t>
      </w:r>
      <w:r>
        <w:rPr>
          <w:rFonts w:hint="eastAsia"/>
          <w:color w:val="auto"/>
          <w:highlight w:val="none"/>
        </w:rPr>
        <w:t>——抗拉试件中部截面积（mm</w:t>
      </w:r>
      <w:r>
        <w:rPr>
          <w:rFonts w:hint="eastAsia"/>
          <w:color w:val="auto"/>
          <w:highlight w:val="none"/>
          <w:vertAlign w:val="superscript"/>
        </w:rPr>
        <w:t>2</w:t>
      </w:r>
      <w:r>
        <w:rPr>
          <w:rFonts w:hint="eastAsia"/>
          <w:color w:val="auto"/>
          <w:highlight w:val="none"/>
        </w:rPr>
        <w:t>）。</w:t>
      </w:r>
    </w:p>
    <w:p w14:paraId="20AA76FE">
      <w:pPr>
        <w:kinsoku/>
        <w:overflowPunct/>
        <w:bidi w:val="0"/>
        <w:spacing w:before="156" w:beforeLines="50" w:line="360" w:lineRule="auto"/>
        <w:ind w:firstLine="315" w:firstLineChars="150"/>
        <w:rPr>
          <w:color w:val="auto"/>
          <w:highlight w:val="none"/>
        </w:rPr>
      </w:pPr>
      <w:r>
        <w:rPr>
          <w:rFonts w:hint="eastAsia"/>
          <w:color w:val="auto"/>
          <w:highlight w:val="none"/>
          <w:lang w:val="en-US" w:eastAsia="zh"/>
          <w:woUserID w:val="3"/>
        </w:rPr>
        <w:t>3</w:t>
      </w:r>
      <w:r>
        <w:rPr>
          <w:rFonts w:hint="eastAsia"/>
          <w:color w:val="auto"/>
          <w:highlight w:val="none"/>
        </w:rPr>
        <w:t xml:space="preserve"> 弹性极限拉应变应按下式计算：</w:t>
      </w:r>
    </w:p>
    <w:p w14:paraId="546C95E0">
      <w:pPr>
        <w:kinsoku/>
        <w:overflowPunct/>
        <w:bidi w:val="0"/>
        <w:spacing w:before="156" w:beforeLines="50" w:line="360" w:lineRule="auto"/>
        <w:ind w:firstLine="315" w:firstLineChars="150"/>
        <w:jc w:val="right"/>
        <w:rPr>
          <w:color w:val="auto"/>
          <w:highlight w:val="none"/>
        </w:rPr>
      </w:pPr>
      <w:r>
        <w:rPr>
          <w:color w:val="auto"/>
          <w:position w:val="-24"/>
          <w:szCs w:val="21"/>
          <w:highlight w:val="none"/>
        </w:rPr>
        <w:object>
          <v:shape id="_x0000_i1064" o:spt="75" type="#_x0000_t75" style="height:31.15pt;width:40.85pt;" o:ole="t" filled="f" o:preferrelative="t" stroked="f" coordsize="21600,21600">
            <v:path/>
            <v:fill on="f" focussize="0,0"/>
            <v:stroke on="f" joinstyle="miter"/>
            <v:imagedata r:id="rId106" o:title=""/>
            <o:lock v:ext="edit" aspectratio="t"/>
            <w10:wrap type="none"/>
            <w10:anchorlock/>
          </v:shape>
          <o:OLEObject Type="Embed" ProgID="Equation.DSMT4" ShapeID="_x0000_i1064" DrawAspect="Content" ObjectID="_1468075764" r:id="rId105">
            <o:LockedField>false</o:LockedField>
          </o:OLEObject>
        </w:object>
      </w:r>
      <w:r>
        <w:rPr>
          <w:rFonts w:hint="eastAsia"/>
          <w:color w:val="auto"/>
          <w:szCs w:val="21"/>
          <w:highlight w:val="none"/>
        </w:rPr>
        <w:t xml:space="preserve">                            （6.6.4-2）</w:t>
      </w:r>
    </w:p>
    <w:p w14:paraId="1FFCFF2C">
      <w:pPr>
        <w:kinsoku/>
        <w:overflowPunct/>
        <w:bidi w:val="0"/>
        <w:spacing w:line="360" w:lineRule="auto"/>
        <w:rPr>
          <w:i/>
          <w:iCs/>
          <w:color w:val="auto"/>
          <w:highlight w:val="none"/>
        </w:rPr>
      </w:pPr>
      <w:r>
        <w:rPr>
          <w:rFonts w:hint="eastAsia"/>
          <w:color w:val="auto"/>
          <w:highlight w:val="none"/>
        </w:rPr>
        <w:t>式中：</w:t>
      </w:r>
      <w:r>
        <w:rPr>
          <w:i/>
          <w:iCs/>
          <w:color w:val="auto"/>
          <w:highlight w:val="none"/>
        </w:rPr>
        <w:t>μ</w:t>
      </w:r>
      <w:r>
        <w:rPr>
          <w:rFonts w:hint="eastAsia"/>
          <w:color w:val="auto"/>
          <w:highlight w:val="none"/>
          <w:vertAlign w:val="subscript"/>
        </w:rPr>
        <w:t>te</w:t>
      </w:r>
      <w:r>
        <w:rPr>
          <w:rFonts w:hint="eastAsia"/>
          <w:color w:val="auto"/>
          <w:highlight w:val="none"/>
        </w:rPr>
        <w:t>——弹性极限拉应变，计算结果应精确至10×10</w:t>
      </w:r>
      <w:r>
        <w:rPr>
          <w:rFonts w:hint="eastAsia"/>
          <w:color w:val="auto"/>
          <w:highlight w:val="none"/>
          <w:vertAlign w:val="superscript"/>
        </w:rPr>
        <w:t>-6</w:t>
      </w:r>
      <w:r>
        <w:rPr>
          <w:rFonts w:hint="eastAsia"/>
          <w:color w:val="auto"/>
          <w:highlight w:val="none"/>
        </w:rPr>
        <w:t>；</w:t>
      </w:r>
    </w:p>
    <w:p w14:paraId="47D60BAF">
      <w:pPr>
        <w:kinsoku/>
        <w:overflowPunct/>
        <w:bidi w:val="0"/>
        <w:spacing w:line="360" w:lineRule="auto"/>
        <w:ind w:firstLine="672" w:firstLineChars="320"/>
        <w:rPr>
          <w:i/>
          <w:iCs/>
          <w:color w:val="auto"/>
          <w:highlight w:val="none"/>
        </w:rPr>
      </w:pPr>
      <w:r>
        <w:rPr>
          <w:rFonts w:hint="eastAsia"/>
          <w:i/>
          <w:iCs/>
          <w:color w:val="auto"/>
          <w:highlight w:val="none"/>
        </w:rPr>
        <w:t>l</w:t>
      </w:r>
      <w:r>
        <w:rPr>
          <w:rFonts w:hint="eastAsia"/>
          <w:color w:val="auto"/>
          <w:highlight w:val="none"/>
          <w:vertAlign w:val="subscript"/>
        </w:rPr>
        <w:t>te</w:t>
      </w:r>
      <w:r>
        <w:rPr>
          <w:rFonts w:hint="eastAsia"/>
          <w:color w:val="auto"/>
          <w:highlight w:val="none"/>
        </w:rPr>
        <w:t>——弹性极限点处变形（mm）；</w:t>
      </w:r>
    </w:p>
    <w:p w14:paraId="798B0419">
      <w:pPr>
        <w:kinsoku/>
        <w:overflowPunct/>
        <w:bidi w:val="0"/>
        <w:spacing w:line="360" w:lineRule="auto"/>
        <w:ind w:firstLine="735" w:firstLineChars="350"/>
        <w:rPr>
          <w:i/>
          <w:iCs/>
          <w:color w:val="auto"/>
          <w:highlight w:val="none"/>
        </w:rPr>
      </w:pPr>
      <w:r>
        <w:rPr>
          <w:rFonts w:hint="eastAsia"/>
          <w:i/>
          <w:iCs/>
          <w:color w:val="auto"/>
          <w:highlight w:val="none"/>
        </w:rPr>
        <w:t>L</w:t>
      </w:r>
      <w:r>
        <w:rPr>
          <w:rFonts w:hint="eastAsia"/>
          <w:color w:val="auto"/>
          <w:highlight w:val="none"/>
        </w:rPr>
        <w:t>——测试标距（mm）。</w:t>
      </w:r>
    </w:p>
    <w:p w14:paraId="782F4113">
      <w:pPr>
        <w:kinsoku/>
        <w:overflowPunct/>
        <w:bidi w:val="0"/>
        <w:spacing w:before="156" w:beforeLines="50" w:line="360" w:lineRule="auto"/>
        <w:ind w:firstLine="315" w:firstLineChars="150"/>
        <w:rPr>
          <w:color w:val="auto"/>
          <w:highlight w:val="none"/>
          <w:woUserID w:val="3"/>
        </w:rPr>
      </w:pPr>
      <w:r>
        <w:rPr>
          <w:rFonts w:hint="eastAsia"/>
          <w:color w:val="auto"/>
          <w:highlight w:val="none"/>
          <w:lang w:val="en-US" w:eastAsia="zh"/>
          <w:woUserID w:val="3"/>
        </w:rPr>
        <w:t>4</w:t>
      </w:r>
      <w:r>
        <w:rPr>
          <w:rFonts w:hint="eastAsia"/>
          <w:color w:val="auto"/>
          <w:highlight w:val="none"/>
          <w:woUserID w:val="3"/>
        </w:rPr>
        <w:t xml:space="preserve"> 弹性</w:t>
      </w:r>
      <w:r>
        <w:rPr>
          <w:rFonts w:hint="eastAsia"/>
          <w:color w:val="auto"/>
          <w:highlight w:val="none"/>
          <w:lang w:val="en-US" w:eastAsia="zh-CN"/>
          <w:woUserID w:val="3"/>
        </w:rPr>
        <w:t>拉伸应力</w:t>
      </w:r>
      <w:r>
        <w:rPr>
          <w:rFonts w:hint="eastAsia"/>
          <w:color w:val="auto"/>
          <w:highlight w:val="none"/>
          <w:woUserID w:val="3"/>
        </w:rPr>
        <w:t>应按下式计算：</w:t>
      </w:r>
    </w:p>
    <w:p w14:paraId="635262D5">
      <w:pPr>
        <w:keepNext w:val="0"/>
        <w:keepLines w:val="0"/>
        <w:widowControl w:val="0"/>
        <w:suppressLineNumbers w:val="0"/>
        <w:kinsoku/>
        <w:overflowPunct/>
        <w:bidi w:val="0"/>
        <w:spacing w:before="120" w:beforeLines="50" w:beforeAutospacing="0" w:after="0" w:afterAutospacing="0" w:line="360" w:lineRule="auto"/>
        <w:ind w:left="0" w:right="0" w:firstLine="315" w:firstLineChars="150"/>
        <w:jc w:val="right"/>
        <w:rPr>
          <w:color w:val="auto"/>
          <w:highlight w:val="none"/>
          <w:lang w:val="en-US"/>
          <w:woUserID w:val="3"/>
        </w:rPr>
      </w:pPr>
      <w:r>
        <w:rPr>
          <w:rFonts w:hint="default" w:ascii="Times New Roman" w:hAnsi="Times New Roman" w:eastAsia="宋体" w:cs="Times New Roman"/>
          <w:color w:val="auto"/>
          <w:kern w:val="2"/>
          <w:sz w:val="21"/>
          <w:szCs w:val="21"/>
          <w:highlight w:val="none"/>
          <w:lang w:val="en-US" w:eastAsia="zh-CN" w:bidi="ar"/>
          <w:woUserID w:val="3"/>
        </w:rPr>
        <w:drawing>
          <wp:inline distT="0" distB="0" distL="114300" distR="114300">
            <wp:extent cx="742950" cy="419100"/>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107"/>
                    <a:stretch>
                      <a:fillRect/>
                    </a:stretch>
                  </pic:blipFill>
                  <pic:spPr>
                    <a:xfrm>
                      <a:off x="0" y="0"/>
                      <a:ext cx="742950" cy="419100"/>
                    </a:xfrm>
                    <a:prstGeom prst="rect">
                      <a:avLst/>
                    </a:prstGeom>
                  </pic:spPr>
                </pic:pic>
              </a:graphicData>
            </a:graphic>
          </wp:inline>
        </w:drawing>
      </w:r>
      <w:r>
        <w:rPr>
          <w:rFonts w:hint="default" w:ascii="Times New Roman" w:hAnsi="Times New Roman" w:eastAsia="宋体" w:cs="Times New Roman"/>
          <w:color w:val="auto"/>
          <w:kern w:val="2"/>
          <w:sz w:val="21"/>
          <w:szCs w:val="21"/>
          <w:highlight w:val="none"/>
          <w:lang w:val="en-US" w:eastAsia="zh-CN" w:bidi="ar"/>
          <w:woUserID w:val="3"/>
        </w:rPr>
        <w:t xml:space="preserve">                            </w:t>
      </w:r>
      <w:r>
        <w:rPr>
          <w:rFonts w:hint="eastAsia" w:ascii="Times New Roman" w:hAnsi="Times New Roman" w:eastAsia="宋体" w:cs="宋体"/>
          <w:color w:val="auto"/>
          <w:kern w:val="2"/>
          <w:sz w:val="21"/>
          <w:szCs w:val="21"/>
          <w:highlight w:val="none"/>
          <w:lang w:val="en-US" w:eastAsia="zh-CN" w:bidi="ar"/>
          <w:woUserID w:val="3"/>
        </w:rPr>
        <w:t>（</w:t>
      </w:r>
      <w:r>
        <w:rPr>
          <w:rFonts w:hint="default" w:ascii="Times New Roman" w:hAnsi="Times New Roman" w:eastAsia="宋体" w:cs="Times New Roman"/>
          <w:color w:val="auto"/>
          <w:kern w:val="2"/>
          <w:sz w:val="21"/>
          <w:szCs w:val="21"/>
          <w:highlight w:val="none"/>
          <w:lang w:val="en-US" w:eastAsia="zh-CN" w:bidi="ar"/>
          <w:woUserID w:val="3"/>
        </w:rPr>
        <w:t>6.6.4-</w:t>
      </w:r>
      <w:r>
        <w:rPr>
          <w:rFonts w:hint="eastAsia" w:ascii="Times New Roman" w:hAnsi="Times New Roman" w:eastAsia="宋体" w:cs="Times New Roman"/>
          <w:color w:val="auto"/>
          <w:kern w:val="2"/>
          <w:sz w:val="21"/>
          <w:szCs w:val="21"/>
          <w:highlight w:val="none"/>
          <w:lang w:val="en-US" w:eastAsia="zh" w:bidi="ar"/>
          <w:woUserID w:val="3"/>
        </w:rPr>
        <w:t>3</w:t>
      </w:r>
      <w:r>
        <w:rPr>
          <w:rFonts w:hint="eastAsia" w:ascii="Times New Roman" w:hAnsi="Times New Roman" w:eastAsia="宋体" w:cs="宋体"/>
          <w:color w:val="auto"/>
          <w:kern w:val="2"/>
          <w:sz w:val="21"/>
          <w:szCs w:val="21"/>
          <w:highlight w:val="none"/>
          <w:lang w:val="en-US" w:eastAsia="zh-CN" w:bidi="ar"/>
          <w:woUserID w:val="3"/>
        </w:rPr>
        <w:t>）</w:t>
      </w:r>
    </w:p>
    <w:p w14:paraId="1DAE1ADB">
      <w:pPr>
        <w:keepNext w:val="0"/>
        <w:keepLines w:val="0"/>
        <w:widowControl w:val="0"/>
        <w:suppressLineNumbers w:val="0"/>
        <w:kinsoku/>
        <w:overflowPunct/>
        <w:bidi w:val="0"/>
        <w:spacing w:before="0" w:beforeAutospacing="0" w:after="0" w:afterAutospacing="0" w:line="360" w:lineRule="auto"/>
        <w:ind w:left="0" w:right="0"/>
        <w:jc w:val="both"/>
        <w:rPr>
          <w:i/>
          <w:iCs/>
          <w:color w:val="auto"/>
          <w:highlight w:val="none"/>
          <w:lang w:val="en-US"/>
          <w:woUserID w:val="3"/>
        </w:rPr>
      </w:pPr>
      <w:r>
        <w:rPr>
          <w:rFonts w:hint="eastAsia" w:ascii="Times New Roman" w:hAnsi="Times New Roman" w:eastAsia="宋体" w:cs="宋体"/>
          <w:color w:val="auto"/>
          <w:kern w:val="2"/>
          <w:sz w:val="21"/>
          <w:szCs w:val="24"/>
          <w:highlight w:val="none"/>
          <w:lang w:val="en-US" w:eastAsia="zh-CN" w:bidi="ar"/>
          <w:woUserID w:val="3"/>
        </w:rPr>
        <w:t>式中：</w:t>
      </w:r>
      <w:r>
        <w:rPr>
          <w:rFonts w:hint="default" w:ascii="Times New Roman" w:hAnsi="Times New Roman" w:eastAsia="宋体" w:cs="Times New Roman"/>
          <w:i/>
          <w:iCs/>
          <w:color w:val="auto"/>
          <w:kern w:val="2"/>
          <w:sz w:val="21"/>
          <w:szCs w:val="24"/>
          <w:highlight w:val="none"/>
          <w:lang w:val="en-US" w:eastAsia="zh-CN" w:bidi="ar"/>
          <w:woUserID w:val="3"/>
        </w:rPr>
        <w:t>f</w:t>
      </w:r>
      <w:r>
        <w:rPr>
          <w:rFonts w:hint="default" w:ascii="Times New Roman" w:hAnsi="Times New Roman" w:eastAsia="宋体" w:cs="Times New Roman"/>
          <w:color w:val="auto"/>
          <w:kern w:val="2"/>
          <w:sz w:val="21"/>
          <w:szCs w:val="24"/>
          <w:highlight w:val="none"/>
          <w:vertAlign w:val="subscript"/>
          <w:lang w:val="en-US" w:eastAsia="zh-CN" w:bidi="ar"/>
          <w:woUserID w:val="3"/>
        </w:rPr>
        <w:t>t200</w:t>
      </w:r>
      <w:r>
        <w:rPr>
          <w:rFonts w:hint="eastAsia" w:ascii="Times New Roman" w:hAnsi="Times New Roman" w:eastAsia="宋体" w:cs="宋体"/>
          <w:color w:val="auto"/>
          <w:kern w:val="2"/>
          <w:sz w:val="21"/>
          <w:szCs w:val="24"/>
          <w:highlight w:val="none"/>
          <w:lang w:val="en-US" w:eastAsia="zh-CN" w:bidi="ar"/>
          <w:woUserID w:val="3"/>
        </w:rPr>
        <w:t>——弹性拉伸应力（</w:t>
      </w:r>
      <w:r>
        <w:rPr>
          <w:rFonts w:hint="default" w:ascii="Times New Roman" w:hAnsi="Times New Roman" w:eastAsia="宋体" w:cs="Times New Roman"/>
          <w:color w:val="auto"/>
          <w:kern w:val="2"/>
          <w:sz w:val="21"/>
          <w:szCs w:val="24"/>
          <w:highlight w:val="none"/>
          <w:lang w:val="en-US" w:eastAsia="zh-CN" w:bidi="ar"/>
          <w:woUserID w:val="3"/>
        </w:rPr>
        <w:t>MPa</w:t>
      </w:r>
      <w:r>
        <w:rPr>
          <w:rFonts w:hint="eastAsia" w:ascii="Times New Roman" w:hAnsi="Times New Roman" w:eastAsia="宋体" w:cs="宋体"/>
          <w:color w:val="auto"/>
          <w:kern w:val="2"/>
          <w:sz w:val="21"/>
          <w:szCs w:val="24"/>
          <w:highlight w:val="none"/>
          <w:lang w:val="en-US" w:eastAsia="zh-CN" w:bidi="ar"/>
          <w:woUserID w:val="3"/>
        </w:rPr>
        <w:t>），计算结果应精确至</w:t>
      </w:r>
      <w:r>
        <w:rPr>
          <w:rFonts w:hint="default" w:ascii="Times New Roman" w:hAnsi="Times New Roman" w:eastAsia="宋体" w:cs="Times New Roman"/>
          <w:color w:val="auto"/>
          <w:kern w:val="2"/>
          <w:sz w:val="21"/>
          <w:szCs w:val="24"/>
          <w:highlight w:val="none"/>
          <w:lang w:val="en-US" w:eastAsia="zh-CN" w:bidi="ar"/>
          <w:woUserID w:val="3"/>
        </w:rPr>
        <w:t>0.1MPa</w:t>
      </w:r>
      <w:r>
        <w:rPr>
          <w:rFonts w:hint="eastAsia" w:ascii="Times New Roman" w:hAnsi="Times New Roman" w:eastAsia="宋体" w:cs="宋体"/>
          <w:color w:val="auto"/>
          <w:kern w:val="2"/>
          <w:sz w:val="21"/>
          <w:szCs w:val="24"/>
          <w:highlight w:val="none"/>
          <w:lang w:val="en-US" w:eastAsia="zh-CN" w:bidi="ar"/>
          <w:woUserID w:val="3"/>
        </w:rPr>
        <w:t>；</w:t>
      </w:r>
    </w:p>
    <w:p w14:paraId="24AFC22A">
      <w:pPr>
        <w:keepNext w:val="0"/>
        <w:keepLines w:val="0"/>
        <w:widowControl/>
        <w:suppressLineNumbers w:val="0"/>
        <w:kinsoku/>
        <w:overflowPunct/>
        <w:bidi w:val="0"/>
        <w:spacing w:line="360" w:lineRule="auto"/>
        <w:ind w:firstLine="630" w:firstLineChars="300"/>
        <w:jc w:val="left"/>
        <w:rPr>
          <w:color w:val="auto"/>
          <w:highlight w:val="none"/>
          <w:woUserID w:val="3"/>
        </w:rPr>
      </w:pPr>
      <w:r>
        <w:rPr>
          <w:rFonts w:hint="default" w:ascii="Times New Roman" w:hAnsi="Times New Roman" w:eastAsia="宋体" w:cs="Times New Roman"/>
          <w:i/>
          <w:iCs/>
          <w:color w:val="auto"/>
          <w:kern w:val="2"/>
          <w:sz w:val="21"/>
          <w:szCs w:val="24"/>
          <w:highlight w:val="none"/>
          <w:lang w:val="en-US" w:eastAsia="zh-CN" w:bidi="ar"/>
          <w:woUserID w:val="3"/>
        </w:rPr>
        <w:t>F</w:t>
      </w:r>
      <w:r>
        <w:rPr>
          <w:rFonts w:hint="default" w:ascii="Times New Roman" w:hAnsi="Times New Roman" w:eastAsia="宋体" w:cs="Times New Roman"/>
          <w:color w:val="auto"/>
          <w:kern w:val="2"/>
          <w:sz w:val="21"/>
          <w:szCs w:val="24"/>
          <w:highlight w:val="none"/>
          <w:vertAlign w:val="subscript"/>
          <w:lang w:val="en-US" w:eastAsia="zh-CN" w:bidi="ar"/>
          <w:woUserID w:val="3"/>
        </w:rPr>
        <w:t>t200</w:t>
      </w:r>
      <w:r>
        <w:rPr>
          <w:rFonts w:hint="eastAsia" w:ascii="Times New Roman" w:hAnsi="Times New Roman" w:eastAsia="宋体" w:cs="Times New Roman"/>
          <w:color w:val="auto"/>
          <w:kern w:val="2"/>
          <w:sz w:val="21"/>
          <w:szCs w:val="24"/>
          <w:highlight w:val="none"/>
          <w:lang w:val="en-US" w:eastAsia="zh-CN" w:bidi="ar"/>
          <w:woUserID w:val="3"/>
        </w:rPr>
        <w:t>——拉应变为</w:t>
      </w:r>
      <w:r>
        <w:rPr>
          <w:rFonts w:hint="default" w:ascii="Times New Roman" w:hAnsi="Times New Roman" w:eastAsia="宋体" w:cs="Times New Roman"/>
          <w:color w:val="auto"/>
          <w:kern w:val="2"/>
          <w:sz w:val="21"/>
          <w:szCs w:val="21"/>
          <w:highlight w:val="none"/>
          <w:lang w:val="en-US" w:eastAsia="zh-CN" w:bidi="ar"/>
          <w:woUserID w:val="3"/>
        </w:rPr>
        <w:t>200</w:t>
      </w:r>
      <w:r>
        <w:rPr>
          <w:rFonts w:hint="eastAsia" w:ascii="Times New Roman" w:hAnsi="Times New Roman" w:eastAsia="宋体" w:cs="Times New Roman"/>
          <w:color w:val="auto"/>
          <w:kern w:val="2"/>
          <w:sz w:val="21"/>
          <w:szCs w:val="21"/>
          <w:highlight w:val="none"/>
          <w:lang w:val="en-US" w:eastAsia="zh-CN" w:bidi="ar"/>
          <w:woUserID w:val="3"/>
        </w:rPr>
        <w:t>×</w:t>
      </w:r>
      <w:r>
        <w:rPr>
          <w:rFonts w:hint="default" w:ascii="Times New Roman" w:hAnsi="Times New Roman" w:eastAsia="宋体" w:cs="Times New Roman"/>
          <w:color w:val="auto"/>
          <w:kern w:val="2"/>
          <w:sz w:val="21"/>
          <w:szCs w:val="21"/>
          <w:highlight w:val="none"/>
          <w:lang w:val="en-US" w:eastAsia="zh-CN" w:bidi="ar"/>
          <w:woUserID w:val="3"/>
        </w:rPr>
        <w:t>10</w:t>
      </w:r>
      <w:r>
        <w:rPr>
          <w:rFonts w:hint="default" w:ascii="Times New Roman" w:hAnsi="Times New Roman" w:eastAsia="宋体" w:cs="Times New Roman"/>
          <w:color w:val="auto"/>
          <w:kern w:val="2"/>
          <w:sz w:val="21"/>
          <w:szCs w:val="21"/>
          <w:highlight w:val="none"/>
          <w:vertAlign w:val="superscript"/>
          <w:lang w:val="en-US" w:eastAsia="zh-CN" w:bidi="ar"/>
          <w:woUserID w:val="3"/>
        </w:rPr>
        <w:t>-6</w:t>
      </w:r>
      <w:r>
        <w:rPr>
          <w:rFonts w:hint="eastAsia" w:ascii="Times New Roman" w:hAnsi="Times New Roman" w:eastAsia="宋体" w:cs="Times New Roman"/>
          <w:color w:val="auto"/>
          <w:kern w:val="2"/>
          <w:sz w:val="21"/>
          <w:szCs w:val="24"/>
          <w:highlight w:val="none"/>
          <w:lang w:val="en-US" w:eastAsia="zh-CN" w:bidi="ar"/>
          <w:woUserID w:val="3"/>
        </w:rPr>
        <w:t>时的荷载（</w:t>
      </w:r>
      <w:r>
        <w:rPr>
          <w:rFonts w:hint="default" w:ascii="Times New Roman" w:hAnsi="Times New Roman" w:eastAsia="宋体" w:cs="Times New Roman"/>
          <w:color w:val="auto"/>
          <w:kern w:val="2"/>
          <w:sz w:val="21"/>
          <w:szCs w:val="24"/>
          <w:highlight w:val="none"/>
          <w:lang w:val="en-US" w:eastAsia="zh-CN" w:bidi="ar"/>
          <w:woUserID w:val="3"/>
        </w:rPr>
        <w:t>N</w:t>
      </w:r>
      <w:r>
        <w:rPr>
          <w:rFonts w:hint="eastAsia" w:ascii="Times New Roman" w:hAnsi="Times New Roman" w:eastAsia="宋体" w:cs="Times New Roman"/>
          <w:color w:val="auto"/>
          <w:kern w:val="2"/>
          <w:sz w:val="21"/>
          <w:szCs w:val="24"/>
          <w:highlight w:val="none"/>
          <w:lang w:val="en-US" w:eastAsia="zh-CN" w:bidi="ar"/>
          <w:woUserID w:val="3"/>
        </w:rPr>
        <w:t>）；</w:t>
      </w:r>
      <w:r>
        <w:rPr>
          <w:rFonts w:hint="default" w:ascii="宋体" w:hAnsi="宋体" w:eastAsia="宋体" w:cs="宋体"/>
          <w:color w:val="auto"/>
          <w:kern w:val="2"/>
          <w:sz w:val="24"/>
          <w:szCs w:val="24"/>
          <w:highlight w:val="none"/>
          <w:lang w:val="en-US" w:eastAsia="zh-CN" w:bidi="ar"/>
          <w:woUserID w:val="3"/>
        </w:rPr>
        <w:t xml:space="preserve"> </w:t>
      </w:r>
    </w:p>
    <w:p w14:paraId="50DF2A9A">
      <w:pPr>
        <w:kinsoku/>
        <w:overflowPunct/>
        <w:bidi w:val="0"/>
        <w:spacing w:line="360" w:lineRule="auto"/>
        <w:ind w:firstLine="642" w:firstLineChars="306"/>
        <w:rPr>
          <w:i/>
          <w:iCs/>
          <w:color w:val="auto"/>
          <w:highlight w:val="none"/>
          <w:woUserID w:val="3"/>
        </w:rPr>
      </w:pPr>
      <w:r>
        <w:rPr>
          <w:rFonts w:hint="eastAsia"/>
          <w:i/>
          <w:iCs/>
          <w:color w:val="auto"/>
          <w:highlight w:val="none"/>
          <w:woUserID w:val="3"/>
        </w:rPr>
        <w:t>A</w:t>
      </w:r>
      <w:r>
        <w:rPr>
          <w:rFonts w:hint="eastAsia"/>
          <w:color w:val="auto"/>
          <w:highlight w:val="none"/>
          <w:woUserID w:val="3"/>
        </w:rPr>
        <w:t>——抗拉试件中部截面积（mm</w:t>
      </w:r>
      <w:r>
        <w:rPr>
          <w:rFonts w:hint="eastAsia"/>
          <w:color w:val="auto"/>
          <w:highlight w:val="none"/>
          <w:vertAlign w:val="superscript"/>
          <w:woUserID w:val="3"/>
        </w:rPr>
        <w:t>2</w:t>
      </w:r>
      <w:r>
        <w:rPr>
          <w:rFonts w:hint="eastAsia"/>
          <w:color w:val="auto"/>
          <w:highlight w:val="none"/>
          <w:woUserID w:val="3"/>
        </w:rPr>
        <w:t>）。</w:t>
      </w:r>
    </w:p>
    <w:p w14:paraId="652936E1">
      <w:pPr>
        <w:kinsoku/>
        <w:overflowPunct/>
        <w:bidi w:val="0"/>
        <w:spacing w:before="156" w:beforeLines="50" w:line="360" w:lineRule="auto"/>
        <w:ind w:firstLine="315" w:firstLineChars="150"/>
        <w:rPr>
          <w:color w:val="auto"/>
          <w:highlight w:val="none"/>
        </w:rPr>
      </w:pPr>
      <w:r>
        <w:rPr>
          <w:rFonts w:hint="eastAsia"/>
          <w:color w:val="auto"/>
          <w:highlight w:val="none"/>
          <w:lang w:val="en-US" w:eastAsia="zh-CN"/>
        </w:rPr>
        <w:t>5</w:t>
      </w:r>
      <w:r>
        <w:rPr>
          <w:rFonts w:hint="eastAsia"/>
          <w:color w:val="auto"/>
          <w:highlight w:val="none"/>
        </w:rPr>
        <w:t xml:space="preserve"> 拉伸弹性模量应按下式计算：</w:t>
      </w:r>
    </w:p>
    <w:p w14:paraId="728EA646">
      <w:pPr>
        <w:kinsoku/>
        <w:overflowPunct/>
        <w:bidi w:val="0"/>
        <w:spacing w:before="156" w:beforeLines="50" w:line="360" w:lineRule="auto"/>
        <w:ind w:firstLine="315" w:firstLineChars="150"/>
        <w:jc w:val="right"/>
        <w:rPr>
          <w:color w:val="auto"/>
          <w:highlight w:val="none"/>
        </w:rPr>
      </w:pPr>
      <w:r>
        <w:rPr>
          <w:color w:val="auto"/>
          <w:position w:val="-30"/>
          <w:szCs w:val="21"/>
          <w:highlight w:val="none"/>
        </w:rPr>
        <w:object>
          <v:shape id="_x0000_i1065" o:spt="75" type="#_x0000_t75" style="height:34.25pt;width:45.55pt;" o:ole="t" filled="f" o:preferrelative="t" stroked="f" coordsize="21600,21600">
            <v:path/>
            <v:fill on="f" focussize="0,0"/>
            <v:stroke on="f" joinstyle="miter"/>
            <v:imagedata r:id="rId109" o:title=""/>
            <o:lock v:ext="edit" aspectratio="t"/>
            <w10:wrap type="none"/>
            <w10:anchorlock/>
          </v:shape>
          <o:OLEObject Type="Embed" ProgID="Equation.DSMT4" ShapeID="_x0000_i1065" DrawAspect="Content" ObjectID="_1468075765" r:id="rId108">
            <o:LockedField>false</o:LockedField>
          </o:OLEObject>
        </w:object>
      </w:r>
      <w:r>
        <w:rPr>
          <w:rFonts w:hint="eastAsia"/>
          <w:color w:val="auto"/>
          <w:szCs w:val="21"/>
          <w:highlight w:val="none"/>
        </w:rPr>
        <w:t xml:space="preserve">                            （6.6.4-</w:t>
      </w:r>
      <w:r>
        <w:rPr>
          <w:rFonts w:hint="eastAsia"/>
          <w:color w:val="auto"/>
          <w:szCs w:val="21"/>
          <w:highlight w:val="none"/>
          <w:lang w:eastAsia="zh"/>
          <w:woUserID w:val="3"/>
        </w:rPr>
        <w:t>4</w:t>
      </w:r>
      <w:r>
        <w:rPr>
          <w:rFonts w:hint="eastAsia"/>
          <w:color w:val="auto"/>
          <w:szCs w:val="21"/>
          <w:highlight w:val="none"/>
        </w:rPr>
        <w:t>）</w:t>
      </w:r>
    </w:p>
    <w:p w14:paraId="71B3FDF3">
      <w:pPr>
        <w:kinsoku/>
        <w:overflowPunct/>
        <w:bidi w:val="0"/>
        <w:spacing w:line="360" w:lineRule="auto"/>
        <w:rPr>
          <w:color w:val="auto"/>
          <w:highlight w:val="none"/>
        </w:rPr>
      </w:pPr>
      <w:r>
        <w:rPr>
          <w:rFonts w:hint="eastAsia"/>
          <w:color w:val="auto"/>
          <w:highlight w:val="none"/>
        </w:rPr>
        <w:t>式中：</w:t>
      </w:r>
      <w:r>
        <w:rPr>
          <w:rFonts w:hint="eastAsia"/>
          <w:i/>
          <w:iCs/>
          <w:color w:val="auto"/>
          <w:highlight w:val="none"/>
        </w:rPr>
        <w:t>E</w:t>
      </w:r>
      <w:r>
        <w:rPr>
          <w:rFonts w:hint="eastAsia"/>
          <w:color w:val="auto"/>
          <w:highlight w:val="none"/>
          <w:vertAlign w:val="subscript"/>
        </w:rPr>
        <w:t>te</w:t>
      </w:r>
      <w:r>
        <w:rPr>
          <w:rFonts w:hint="eastAsia"/>
          <w:color w:val="auto"/>
          <w:highlight w:val="none"/>
        </w:rPr>
        <w:t>——拉伸弹性模量（MPa），计算结果应精确至100MPa；</w:t>
      </w:r>
    </w:p>
    <w:p w14:paraId="24C83598">
      <w:pPr>
        <w:kinsoku/>
        <w:overflowPunct/>
        <w:bidi w:val="0"/>
        <w:spacing w:line="360" w:lineRule="auto"/>
        <w:ind w:firstLine="735" w:firstLineChars="350"/>
        <w:rPr>
          <w:color w:val="auto"/>
          <w:highlight w:val="none"/>
        </w:rPr>
      </w:pPr>
      <w:r>
        <w:rPr>
          <w:rFonts w:hint="eastAsia"/>
          <w:i/>
          <w:iCs/>
          <w:color w:val="auto"/>
          <w:highlight w:val="none"/>
        </w:rPr>
        <w:t>f</w:t>
      </w:r>
      <w:r>
        <w:rPr>
          <w:rFonts w:hint="eastAsia"/>
          <w:color w:val="auto"/>
          <w:highlight w:val="none"/>
          <w:vertAlign w:val="subscript"/>
        </w:rPr>
        <w:t>te</w:t>
      </w:r>
      <w:r>
        <w:rPr>
          <w:rFonts w:hint="eastAsia"/>
          <w:color w:val="auto"/>
          <w:highlight w:val="none"/>
        </w:rPr>
        <w:t>——弹性极限抗拉强度（MPa）；</w:t>
      </w:r>
    </w:p>
    <w:p w14:paraId="191B9CFC">
      <w:pPr>
        <w:kinsoku/>
        <w:overflowPunct/>
        <w:bidi w:val="0"/>
        <w:spacing w:line="360" w:lineRule="auto"/>
        <w:ind w:firstLine="684" w:firstLineChars="326"/>
        <w:rPr>
          <w:i/>
          <w:iCs/>
          <w:color w:val="auto"/>
          <w:highlight w:val="none"/>
        </w:rPr>
      </w:pPr>
      <w:r>
        <w:rPr>
          <w:i/>
          <w:iCs/>
          <w:color w:val="auto"/>
          <w:highlight w:val="none"/>
        </w:rPr>
        <w:t>μ</w:t>
      </w:r>
      <w:r>
        <w:rPr>
          <w:rFonts w:hint="eastAsia"/>
          <w:color w:val="auto"/>
          <w:highlight w:val="none"/>
          <w:vertAlign w:val="subscript"/>
        </w:rPr>
        <w:t>te</w:t>
      </w:r>
      <w:r>
        <w:rPr>
          <w:rFonts w:hint="eastAsia"/>
          <w:color w:val="auto"/>
          <w:highlight w:val="none"/>
        </w:rPr>
        <w:t>——弹性极限拉应变。</w:t>
      </w:r>
    </w:p>
    <w:p w14:paraId="21224240">
      <w:pPr>
        <w:kinsoku/>
        <w:overflowPunct/>
        <w:bidi w:val="0"/>
        <w:spacing w:before="156" w:beforeLines="50" w:line="360" w:lineRule="auto"/>
        <w:ind w:firstLine="315" w:firstLineChars="150"/>
        <w:rPr>
          <w:color w:val="auto"/>
          <w:highlight w:val="none"/>
        </w:rPr>
      </w:pPr>
      <w:r>
        <w:rPr>
          <w:rFonts w:hint="eastAsia"/>
          <w:color w:val="auto"/>
          <w:highlight w:val="none"/>
          <w:lang w:val="en-US" w:eastAsia="zh-CN"/>
        </w:rPr>
        <w:t>6</w:t>
      </w:r>
      <w:r>
        <w:rPr>
          <w:rFonts w:hint="eastAsia"/>
          <w:color w:val="auto"/>
          <w:highlight w:val="none"/>
        </w:rPr>
        <w:t xml:space="preserve"> 抗拉强度应按下式计算:</w:t>
      </w:r>
    </w:p>
    <w:p w14:paraId="512BC800">
      <w:pPr>
        <w:kinsoku/>
        <w:overflowPunct/>
        <w:bidi w:val="0"/>
        <w:spacing w:before="156" w:beforeLines="50" w:line="360" w:lineRule="auto"/>
        <w:ind w:firstLine="315" w:firstLineChars="150"/>
        <w:jc w:val="right"/>
        <w:rPr>
          <w:color w:val="auto"/>
          <w:highlight w:val="none"/>
        </w:rPr>
      </w:pPr>
      <w:r>
        <w:rPr>
          <w:color w:val="auto"/>
          <w:position w:val="-24"/>
          <w:szCs w:val="21"/>
          <w:highlight w:val="none"/>
        </w:rPr>
        <w:drawing>
          <wp:inline distT="0" distB="0" distL="114300" distR="114300">
            <wp:extent cx="619125" cy="419100"/>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110"/>
                    <a:stretch>
                      <a:fillRect/>
                    </a:stretch>
                  </pic:blipFill>
                  <pic:spPr>
                    <a:xfrm>
                      <a:off x="0" y="0"/>
                      <a:ext cx="619125" cy="419100"/>
                    </a:xfrm>
                    <a:prstGeom prst="rect">
                      <a:avLst/>
                    </a:prstGeom>
                  </pic:spPr>
                </pic:pic>
              </a:graphicData>
            </a:graphic>
          </wp:inline>
        </w:drawing>
      </w:r>
      <w:r>
        <w:rPr>
          <w:rFonts w:hint="eastAsia"/>
          <w:color w:val="auto"/>
          <w:szCs w:val="21"/>
          <w:highlight w:val="none"/>
        </w:rPr>
        <w:t xml:space="preserve">                            （6.6.4-</w:t>
      </w:r>
      <w:r>
        <w:rPr>
          <w:rFonts w:hint="eastAsia"/>
          <w:color w:val="auto"/>
          <w:szCs w:val="21"/>
          <w:highlight w:val="none"/>
          <w:lang w:eastAsia="zh"/>
          <w:woUserID w:val="3"/>
        </w:rPr>
        <w:t>5</w:t>
      </w:r>
      <w:r>
        <w:rPr>
          <w:rFonts w:hint="eastAsia"/>
          <w:color w:val="auto"/>
          <w:szCs w:val="21"/>
          <w:highlight w:val="none"/>
        </w:rPr>
        <w:t>）</w:t>
      </w:r>
    </w:p>
    <w:p w14:paraId="409BC473">
      <w:pPr>
        <w:kinsoku/>
        <w:overflowPunct/>
        <w:bidi w:val="0"/>
        <w:spacing w:line="360" w:lineRule="auto"/>
        <w:rPr>
          <w:i/>
          <w:iCs/>
          <w:color w:val="auto"/>
          <w:highlight w:val="none"/>
        </w:rPr>
      </w:pPr>
      <w:r>
        <w:rPr>
          <w:rFonts w:hint="eastAsia"/>
          <w:color w:val="auto"/>
          <w:highlight w:val="none"/>
        </w:rPr>
        <w:t>式中：</w:t>
      </w:r>
      <w:r>
        <w:rPr>
          <w:rFonts w:hint="eastAsia"/>
          <w:i/>
          <w:iCs/>
          <w:color w:val="auto"/>
          <w:highlight w:val="none"/>
        </w:rPr>
        <w:t>f</w:t>
      </w:r>
      <w:r>
        <w:rPr>
          <w:rFonts w:hint="eastAsia"/>
          <w:color w:val="auto"/>
          <w:highlight w:val="none"/>
          <w:vertAlign w:val="subscript"/>
        </w:rPr>
        <w:t>t</w:t>
      </w:r>
      <w:r>
        <w:rPr>
          <w:rFonts w:hint="eastAsia"/>
          <w:color w:val="auto"/>
          <w:highlight w:val="none"/>
        </w:rPr>
        <w:t>——抗拉强度（MPa），计算结果应精确至0.1MPa；</w:t>
      </w:r>
    </w:p>
    <w:p w14:paraId="32CC4CC4">
      <w:pPr>
        <w:kinsoku/>
        <w:overflowPunct/>
        <w:bidi w:val="0"/>
        <w:spacing w:line="360" w:lineRule="auto"/>
        <w:ind w:firstLine="420" w:firstLineChars="200"/>
        <w:rPr>
          <w:color w:val="auto"/>
          <w:highlight w:val="none"/>
        </w:rPr>
      </w:pPr>
      <w:r>
        <w:rPr>
          <w:rFonts w:hint="eastAsia"/>
          <w:i/>
          <w:iCs/>
          <w:color w:val="auto"/>
          <w:highlight w:val="none"/>
        </w:rPr>
        <w:t>F</w:t>
      </w:r>
      <w:r>
        <w:rPr>
          <w:rFonts w:hint="eastAsia"/>
          <w:color w:val="auto"/>
          <w:highlight w:val="none"/>
          <w:vertAlign w:val="subscript"/>
        </w:rPr>
        <w:t>max</w:t>
      </w:r>
      <w:r>
        <w:rPr>
          <w:rFonts w:hint="eastAsia"/>
          <w:color w:val="auto"/>
          <w:highlight w:val="none"/>
        </w:rPr>
        <w:t>——抗拉试验加荷过程中的最大荷载（N）；</w:t>
      </w:r>
    </w:p>
    <w:p w14:paraId="7F2B9FFB">
      <w:pPr>
        <w:kinsoku/>
        <w:overflowPunct/>
        <w:bidi w:val="0"/>
        <w:spacing w:line="360" w:lineRule="auto"/>
        <w:ind w:firstLine="672" w:firstLineChars="320"/>
        <w:rPr>
          <w:i/>
          <w:iCs/>
          <w:color w:val="auto"/>
          <w:highlight w:val="none"/>
        </w:rPr>
      </w:pPr>
      <w:r>
        <w:rPr>
          <w:rFonts w:hint="eastAsia"/>
          <w:i/>
          <w:iCs/>
          <w:color w:val="auto"/>
          <w:highlight w:val="none"/>
        </w:rPr>
        <w:t>A</w:t>
      </w:r>
      <w:r>
        <w:rPr>
          <w:rFonts w:hint="eastAsia"/>
          <w:color w:val="auto"/>
          <w:highlight w:val="none"/>
        </w:rPr>
        <w:t>——抗拉试件中部截面面积（mm</w:t>
      </w:r>
      <w:r>
        <w:rPr>
          <w:color w:val="auto"/>
          <w:highlight w:val="none"/>
          <w:vertAlign w:val="superscript"/>
        </w:rPr>
        <w:t>2</w:t>
      </w:r>
      <w:r>
        <w:rPr>
          <w:rFonts w:hint="eastAsia"/>
          <w:color w:val="auto"/>
          <w:highlight w:val="none"/>
        </w:rPr>
        <w:t>）。</w:t>
      </w:r>
    </w:p>
    <w:p w14:paraId="62A9BEA3">
      <w:pPr>
        <w:kinsoku/>
        <w:overflowPunct/>
        <w:bidi w:val="0"/>
        <w:spacing w:before="156" w:beforeLines="50" w:line="360" w:lineRule="auto"/>
        <w:ind w:firstLine="315" w:firstLineChars="150"/>
        <w:rPr>
          <w:color w:val="auto"/>
          <w:highlight w:val="none"/>
        </w:rPr>
      </w:pPr>
      <w:r>
        <w:rPr>
          <w:rFonts w:hint="eastAsia"/>
          <w:color w:val="auto"/>
          <w:highlight w:val="none"/>
          <w:lang w:val="en-US" w:eastAsia="zh-CN"/>
        </w:rPr>
        <w:t>7</w:t>
      </w:r>
      <w:r>
        <w:rPr>
          <w:rFonts w:hint="eastAsia"/>
          <w:color w:val="auto"/>
          <w:highlight w:val="none"/>
        </w:rPr>
        <w:t xml:space="preserve"> 抗拉应变应按下式计算：</w:t>
      </w:r>
    </w:p>
    <w:p w14:paraId="650EF35B">
      <w:pPr>
        <w:kinsoku/>
        <w:overflowPunct/>
        <w:bidi w:val="0"/>
        <w:spacing w:before="156" w:beforeLines="50" w:line="360" w:lineRule="auto"/>
        <w:ind w:firstLine="315" w:firstLineChars="150"/>
        <w:jc w:val="right"/>
        <w:rPr>
          <w:color w:val="auto"/>
          <w:highlight w:val="none"/>
        </w:rPr>
      </w:pPr>
      <w:r>
        <w:rPr>
          <w:color w:val="auto"/>
          <w:position w:val="-24"/>
          <w:szCs w:val="21"/>
          <w:highlight w:val="none"/>
        </w:rPr>
        <w:drawing>
          <wp:inline distT="0" distB="0" distL="114300" distR="114300">
            <wp:extent cx="466725" cy="419100"/>
            <wp:effectExtent l="0" t="0" r="9525"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111"/>
                    <a:stretch>
                      <a:fillRect/>
                    </a:stretch>
                  </pic:blipFill>
                  <pic:spPr>
                    <a:xfrm>
                      <a:off x="0" y="0"/>
                      <a:ext cx="466725" cy="419100"/>
                    </a:xfrm>
                    <a:prstGeom prst="rect">
                      <a:avLst/>
                    </a:prstGeom>
                  </pic:spPr>
                </pic:pic>
              </a:graphicData>
            </a:graphic>
          </wp:inline>
        </w:drawing>
      </w:r>
      <w:r>
        <w:rPr>
          <w:rFonts w:hint="eastAsia"/>
          <w:color w:val="auto"/>
          <w:szCs w:val="21"/>
          <w:highlight w:val="none"/>
        </w:rPr>
        <w:t xml:space="preserve">                            （6.6.4-</w:t>
      </w:r>
      <w:r>
        <w:rPr>
          <w:rFonts w:hint="eastAsia"/>
          <w:color w:val="auto"/>
          <w:szCs w:val="21"/>
          <w:highlight w:val="none"/>
          <w:lang w:eastAsia="zh"/>
          <w:woUserID w:val="3"/>
        </w:rPr>
        <w:t>6</w:t>
      </w:r>
      <w:r>
        <w:rPr>
          <w:rFonts w:hint="eastAsia"/>
          <w:color w:val="auto"/>
          <w:szCs w:val="21"/>
          <w:highlight w:val="none"/>
        </w:rPr>
        <w:t>）</w:t>
      </w:r>
    </w:p>
    <w:p w14:paraId="72B71E59">
      <w:pPr>
        <w:kinsoku/>
        <w:overflowPunct/>
        <w:bidi w:val="0"/>
        <w:spacing w:line="360" w:lineRule="auto"/>
        <w:rPr>
          <w:i/>
          <w:iCs/>
          <w:color w:val="auto"/>
          <w:highlight w:val="none"/>
        </w:rPr>
      </w:pPr>
      <w:r>
        <w:rPr>
          <w:rFonts w:hint="eastAsia"/>
          <w:color w:val="auto"/>
          <w:highlight w:val="none"/>
        </w:rPr>
        <w:t>式中：</w:t>
      </w:r>
      <w:r>
        <w:rPr>
          <w:i/>
          <w:iCs/>
          <w:color w:val="auto"/>
          <w:highlight w:val="none"/>
        </w:rPr>
        <w:t>μ</w:t>
      </w:r>
      <w:r>
        <w:rPr>
          <w:rFonts w:hint="eastAsia"/>
          <w:color w:val="auto"/>
          <w:highlight w:val="none"/>
          <w:vertAlign w:val="subscript"/>
        </w:rPr>
        <w:t>t</w:t>
      </w:r>
      <w:r>
        <w:rPr>
          <w:rFonts w:hint="eastAsia"/>
          <w:color w:val="auto"/>
          <w:highlight w:val="none"/>
        </w:rPr>
        <w:t>——抗拉应变，计算结果应精确至10×10</w:t>
      </w:r>
      <w:r>
        <w:rPr>
          <w:rFonts w:hint="eastAsia"/>
          <w:color w:val="auto"/>
          <w:highlight w:val="none"/>
          <w:vertAlign w:val="superscript"/>
        </w:rPr>
        <w:t>-6</w:t>
      </w:r>
      <w:r>
        <w:rPr>
          <w:rFonts w:hint="eastAsia"/>
          <w:color w:val="auto"/>
          <w:highlight w:val="none"/>
        </w:rPr>
        <w:t>；</w:t>
      </w:r>
    </w:p>
    <w:p w14:paraId="76141F29">
      <w:pPr>
        <w:kinsoku/>
        <w:overflowPunct/>
        <w:bidi w:val="0"/>
        <w:spacing w:line="360" w:lineRule="auto"/>
        <w:ind w:firstLine="707" w:firstLineChars="337"/>
        <w:rPr>
          <w:color w:val="auto"/>
          <w:highlight w:val="none"/>
        </w:rPr>
      </w:pPr>
      <w:r>
        <w:rPr>
          <w:rFonts w:hint="eastAsia"/>
          <w:i/>
          <w:iCs/>
          <w:color w:val="auto"/>
          <w:highlight w:val="none"/>
        </w:rPr>
        <w:t>l</w:t>
      </w:r>
      <w:r>
        <w:rPr>
          <w:rFonts w:hint="eastAsia"/>
          <w:color w:val="auto"/>
          <w:highlight w:val="none"/>
          <w:vertAlign w:val="subscript"/>
        </w:rPr>
        <w:t>t</w:t>
      </w:r>
      <w:r>
        <w:rPr>
          <w:rFonts w:hint="eastAsia"/>
          <w:color w:val="auto"/>
          <w:highlight w:val="none"/>
        </w:rPr>
        <w:t>——最大拉应力处变形（mm），取荷载—变形曲线中最大拉应力处的试件变形；</w:t>
      </w:r>
    </w:p>
    <w:p w14:paraId="30A4C608">
      <w:pPr>
        <w:kinsoku/>
        <w:overflowPunct/>
        <w:bidi w:val="0"/>
        <w:spacing w:line="360" w:lineRule="auto"/>
        <w:ind w:firstLine="768" w:firstLineChars="366"/>
        <w:rPr>
          <w:i/>
          <w:iCs/>
          <w:color w:val="auto"/>
          <w:highlight w:val="none"/>
        </w:rPr>
      </w:pPr>
      <w:r>
        <w:rPr>
          <w:rFonts w:hint="eastAsia"/>
          <w:i/>
          <w:iCs/>
          <w:color w:val="auto"/>
          <w:highlight w:val="none"/>
        </w:rPr>
        <w:t>L</w:t>
      </w:r>
      <w:r>
        <w:rPr>
          <w:rFonts w:hint="eastAsia"/>
          <w:color w:val="auto"/>
          <w:highlight w:val="none"/>
        </w:rPr>
        <w:t>——测试标距（mm）。</w:t>
      </w:r>
    </w:p>
    <w:p w14:paraId="7CFC5835">
      <w:pPr>
        <w:kinsoku/>
        <w:overflowPunct/>
        <w:bidi w:val="0"/>
        <w:spacing w:before="156" w:beforeLines="50" w:line="360" w:lineRule="auto"/>
        <w:ind w:firstLine="315" w:firstLineChars="150"/>
        <w:rPr>
          <w:color w:val="auto"/>
          <w:highlight w:val="none"/>
        </w:rPr>
      </w:pPr>
      <w:r>
        <w:rPr>
          <w:rFonts w:hint="eastAsia"/>
          <w:color w:val="auto"/>
          <w:highlight w:val="none"/>
          <w:lang w:val="en-US" w:eastAsia="zh-CN"/>
        </w:rPr>
        <w:t>8</w:t>
      </w:r>
      <w:r>
        <w:rPr>
          <w:rFonts w:hint="eastAsia"/>
          <w:color w:val="auto"/>
          <w:highlight w:val="none"/>
        </w:rPr>
        <w:t xml:space="preserve"> 残余抗拉强度应按下式计算：</w:t>
      </w:r>
    </w:p>
    <w:p w14:paraId="7C71D758">
      <w:pPr>
        <w:kinsoku/>
        <w:overflowPunct/>
        <w:bidi w:val="0"/>
        <w:spacing w:before="156" w:beforeLines="50" w:line="360" w:lineRule="auto"/>
        <w:ind w:firstLine="315" w:firstLineChars="150"/>
        <w:jc w:val="right"/>
        <w:rPr>
          <w:color w:val="auto"/>
          <w:highlight w:val="none"/>
        </w:rPr>
      </w:pPr>
      <w:r>
        <w:rPr>
          <w:color w:val="auto"/>
          <w:position w:val="-24"/>
          <w:szCs w:val="21"/>
          <w:highlight w:val="none"/>
        </w:rPr>
        <w:object>
          <v:shape id="_x0000_i1066" o:spt="75" type="#_x0000_t75" style="height:31.15pt;width:42.05pt;" o:ole="t" filled="f" o:preferrelative="t" stroked="f" coordsize="21600,21600">
            <v:path/>
            <v:fill on="f" focussize="0,0"/>
            <v:stroke on="f" joinstyle="miter"/>
            <v:imagedata r:id="rId113" o:title=""/>
            <o:lock v:ext="edit" aspectratio="t"/>
            <w10:wrap type="none"/>
            <w10:anchorlock/>
          </v:shape>
          <o:OLEObject Type="Embed" ProgID="Equation.DSMT4" ShapeID="_x0000_i1066" DrawAspect="Content" ObjectID="_1468075766" r:id="rId112">
            <o:LockedField>false</o:LockedField>
          </o:OLEObject>
        </w:object>
      </w:r>
      <w:r>
        <w:rPr>
          <w:rFonts w:hint="eastAsia"/>
          <w:color w:val="auto"/>
          <w:szCs w:val="21"/>
          <w:highlight w:val="none"/>
        </w:rPr>
        <w:t xml:space="preserve">                            （6.6.4-</w:t>
      </w:r>
      <w:r>
        <w:rPr>
          <w:rFonts w:hint="eastAsia"/>
          <w:color w:val="auto"/>
          <w:szCs w:val="21"/>
          <w:highlight w:val="none"/>
          <w:lang w:eastAsia="zh"/>
          <w:woUserID w:val="3"/>
        </w:rPr>
        <w:t>7</w:t>
      </w:r>
      <w:r>
        <w:rPr>
          <w:rFonts w:hint="eastAsia"/>
          <w:color w:val="auto"/>
          <w:szCs w:val="21"/>
          <w:highlight w:val="none"/>
        </w:rPr>
        <w:t>）</w:t>
      </w:r>
    </w:p>
    <w:p w14:paraId="144A99D9">
      <w:pPr>
        <w:kinsoku/>
        <w:overflowPunct/>
        <w:bidi w:val="0"/>
        <w:spacing w:line="360" w:lineRule="auto"/>
        <w:rPr>
          <w:i/>
          <w:iCs/>
          <w:color w:val="auto"/>
          <w:highlight w:val="none"/>
        </w:rPr>
      </w:pPr>
      <w:r>
        <w:rPr>
          <w:rFonts w:hint="eastAsia"/>
          <w:color w:val="auto"/>
          <w:highlight w:val="none"/>
        </w:rPr>
        <w:t>式中：</w:t>
      </w:r>
      <w:r>
        <w:rPr>
          <w:rFonts w:hint="eastAsia"/>
          <w:i/>
          <w:iCs/>
          <w:color w:val="auto"/>
          <w:highlight w:val="none"/>
        </w:rPr>
        <w:t>f</w:t>
      </w:r>
      <w:r>
        <w:rPr>
          <w:rFonts w:hint="eastAsia"/>
          <w:color w:val="auto"/>
          <w:highlight w:val="none"/>
          <w:vertAlign w:val="subscript"/>
        </w:rPr>
        <w:t>tr</w:t>
      </w:r>
      <w:r>
        <w:rPr>
          <w:rFonts w:hint="eastAsia"/>
          <w:color w:val="auto"/>
          <w:highlight w:val="none"/>
        </w:rPr>
        <w:t>——残余抗拉强度（MPa），计算结果应精确至0.01MPa；</w:t>
      </w:r>
    </w:p>
    <w:p w14:paraId="0CFCD973">
      <w:pPr>
        <w:kinsoku/>
        <w:overflowPunct/>
        <w:bidi w:val="0"/>
        <w:spacing w:line="360" w:lineRule="auto"/>
        <w:ind w:firstLine="567" w:firstLineChars="270"/>
        <w:rPr>
          <w:color w:val="auto"/>
          <w:highlight w:val="none"/>
        </w:rPr>
      </w:pPr>
      <w:r>
        <w:rPr>
          <w:rFonts w:hint="eastAsia"/>
          <w:i/>
          <w:iCs/>
          <w:color w:val="auto"/>
          <w:highlight w:val="none"/>
        </w:rPr>
        <w:t>F</w:t>
      </w:r>
      <w:r>
        <w:rPr>
          <w:rFonts w:hint="eastAsia"/>
          <w:color w:val="auto"/>
          <w:highlight w:val="none"/>
          <w:vertAlign w:val="subscript"/>
        </w:rPr>
        <w:t>tr</w:t>
      </w:r>
      <w:r>
        <w:rPr>
          <w:rFonts w:hint="eastAsia"/>
          <w:color w:val="auto"/>
          <w:highlight w:val="none"/>
        </w:rPr>
        <w:t>——抗拉应变小于1000×10</w:t>
      </w:r>
      <w:r>
        <w:rPr>
          <w:rFonts w:hint="eastAsia"/>
          <w:color w:val="auto"/>
          <w:highlight w:val="none"/>
          <w:vertAlign w:val="superscript"/>
        </w:rPr>
        <w:t>-6</w:t>
      </w:r>
      <w:r>
        <w:rPr>
          <w:rFonts w:hint="eastAsia"/>
          <w:color w:val="auto"/>
          <w:highlight w:val="none"/>
        </w:rPr>
        <w:t>的试件拉伸试验过程中拉应变为1500×10</w:t>
      </w:r>
      <w:r>
        <w:rPr>
          <w:rFonts w:hint="eastAsia"/>
          <w:color w:val="auto"/>
          <w:highlight w:val="none"/>
          <w:vertAlign w:val="superscript"/>
        </w:rPr>
        <w:t>-6</w:t>
      </w:r>
      <w:r>
        <w:rPr>
          <w:rFonts w:hint="eastAsia"/>
          <w:color w:val="auto"/>
          <w:highlight w:val="none"/>
        </w:rPr>
        <w:t>时的荷载（N）；</w:t>
      </w:r>
    </w:p>
    <w:p w14:paraId="4FA8EC3B">
      <w:pPr>
        <w:kinsoku/>
        <w:overflowPunct/>
        <w:bidi w:val="0"/>
        <w:spacing w:line="360" w:lineRule="auto"/>
        <w:ind w:firstLine="630" w:firstLineChars="300"/>
        <w:rPr>
          <w:i/>
          <w:iCs/>
          <w:color w:val="auto"/>
          <w:highlight w:val="none"/>
        </w:rPr>
      </w:pPr>
      <w:r>
        <w:rPr>
          <w:rFonts w:hint="eastAsia"/>
          <w:i/>
          <w:iCs/>
          <w:color w:val="auto"/>
          <w:highlight w:val="none"/>
        </w:rPr>
        <w:t>A</w:t>
      </w:r>
      <w:r>
        <w:rPr>
          <w:rFonts w:hint="eastAsia"/>
          <w:color w:val="auto"/>
          <w:highlight w:val="none"/>
        </w:rPr>
        <w:t>——抗拉试件中部截面面积（mm</w:t>
      </w:r>
      <w:r>
        <w:rPr>
          <w:rFonts w:hint="eastAsia"/>
          <w:color w:val="auto"/>
          <w:highlight w:val="none"/>
          <w:vertAlign w:val="superscript"/>
        </w:rPr>
        <w:t>2</w:t>
      </w:r>
      <w:r>
        <w:rPr>
          <w:rFonts w:hint="eastAsia"/>
          <w:color w:val="auto"/>
          <w:highlight w:val="none"/>
        </w:rPr>
        <w:t>）。</w:t>
      </w:r>
    </w:p>
    <w:p w14:paraId="5B2ECC6B">
      <w:pPr>
        <w:kinsoku/>
        <w:overflowPunct/>
        <w:bidi w:val="0"/>
        <w:spacing w:before="156" w:beforeLines="50" w:line="360" w:lineRule="auto"/>
        <w:ind w:firstLine="315" w:firstLineChars="150"/>
        <w:rPr>
          <w:color w:val="auto"/>
          <w:szCs w:val="21"/>
          <w:highlight w:val="none"/>
        </w:rPr>
      </w:pPr>
      <w:r>
        <w:rPr>
          <w:rFonts w:hint="eastAsia"/>
          <w:color w:val="auto"/>
          <w:szCs w:val="21"/>
          <w:highlight w:val="none"/>
          <w:lang w:val="en-US" w:eastAsia="zh-CN"/>
        </w:rPr>
        <w:t>9</w:t>
      </w:r>
      <w:r>
        <w:rPr>
          <w:rFonts w:hint="eastAsia"/>
          <w:color w:val="auto"/>
          <w:szCs w:val="21"/>
          <w:highlight w:val="none"/>
        </w:rPr>
        <w:t xml:space="preserve"> 试验</w:t>
      </w:r>
      <w:r>
        <w:rPr>
          <w:rFonts w:hint="eastAsia"/>
          <w:color w:val="auto"/>
          <w:highlight w:val="none"/>
        </w:rPr>
        <w:t>结果</w:t>
      </w:r>
      <w:r>
        <w:rPr>
          <w:rFonts w:hint="eastAsia"/>
          <w:color w:val="auto"/>
          <w:szCs w:val="21"/>
          <w:highlight w:val="none"/>
        </w:rPr>
        <w:t>应按下列要求确定：</w:t>
      </w:r>
    </w:p>
    <w:p w14:paraId="2D651531">
      <w:pPr>
        <w:widowControl/>
        <w:kinsoku/>
        <w:overflowPunct/>
        <w:bidi w:val="0"/>
        <w:spacing w:before="50" w:line="360" w:lineRule="auto"/>
        <w:ind w:left="420"/>
        <w:rPr>
          <w:color w:val="auto"/>
          <w:szCs w:val="21"/>
          <w:highlight w:val="none"/>
        </w:rPr>
      </w:pPr>
      <w:r>
        <w:rPr>
          <w:rFonts w:hint="eastAsia"/>
          <w:color w:val="auto"/>
          <w:szCs w:val="21"/>
          <w:highlight w:val="none"/>
        </w:rPr>
        <w:t>1）开裂位置位于标距内的试件为有效拉伸试件，有效拉伸试件数量不应小于4个。当有效拉伸试件数量小于4个时，该组试件无效；</w:t>
      </w:r>
    </w:p>
    <w:p w14:paraId="19EAB6FE">
      <w:pPr>
        <w:widowControl/>
        <w:kinsoku/>
        <w:overflowPunct/>
        <w:bidi w:val="0"/>
        <w:spacing w:before="50" w:line="360" w:lineRule="auto"/>
        <w:ind w:left="420"/>
        <w:rPr>
          <w:color w:val="auto"/>
          <w:szCs w:val="21"/>
          <w:highlight w:val="none"/>
        </w:rPr>
      </w:pPr>
      <w:r>
        <w:rPr>
          <w:rFonts w:hint="eastAsia"/>
          <w:color w:val="auto"/>
          <w:szCs w:val="21"/>
          <w:highlight w:val="none"/>
        </w:rPr>
        <w:t>2）应以所有有效拉伸试件测值的平均值确定弹性极限抗拉强度、弹性极限拉应变、</w:t>
      </w:r>
      <w:r>
        <w:rPr>
          <w:rFonts w:hint="eastAsia"/>
          <w:color w:val="auto"/>
          <w:highlight w:val="none"/>
          <w:woUserID w:val="3"/>
        </w:rPr>
        <w:t>弹性</w:t>
      </w:r>
      <w:r>
        <w:rPr>
          <w:rFonts w:hint="eastAsia"/>
          <w:color w:val="auto"/>
          <w:highlight w:val="none"/>
          <w:lang w:val="en-US" w:eastAsia="zh-CN"/>
          <w:woUserID w:val="3"/>
        </w:rPr>
        <w:t>拉伸应力</w:t>
      </w:r>
      <w:r>
        <w:rPr>
          <w:rFonts w:hint="eastAsia"/>
          <w:color w:val="auto"/>
          <w:highlight w:val="none"/>
          <w:lang w:val="en-US" w:eastAsia="zh"/>
          <w:woUserID w:val="3"/>
        </w:rPr>
        <w:t>、</w:t>
      </w:r>
      <w:r>
        <w:rPr>
          <w:rFonts w:hint="eastAsia"/>
          <w:color w:val="auto"/>
          <w:szCs w:val="21"/>
          <w:highlight w:val="none"/>
        </w:rPr>
        <w:t>拉伸弹性模量、抗拉强度、抗拉应变的最终试验结果</w:t>
      </w:r>
      <w:r>
        <w:rPr>
          <w:color w:val="auto"/>
          <w:szCs w:val="21"/>
          <w:highlight w:val="none"/>
        </w:rPr>
        <w:t>。</w:t>
      </w:r>
    </w:p>
    <w:p w14:paraId="5C7AFEF8">
      <w:pPr>
        <w:widowControl/>
        <w:kinsoku/>
        <w:overflowPunct/>
        <w:bidi w:val="0"/>
        <w:spacing w:before="50" w:line="360" w:lineRule="auto"/>
        <w:ind w:left="420"/>
        <w:jc w:val="left"/>
        <w:rPr>
          <w:color w:val="auto"/>
          <w:highlight w:val="none"/>
        </w:rPr>
      </w:pPr>
      <w:r>
        <w:rPr>
          <w:rFonts w:hint="eastAsia"/>
          <w:color w:val="auto"/>
          <w:szCs w:val="21"/>
          <w:highlight w:val="none"/>
        </w:rPr>
        <w:t>3）当有试件抗拉应变小于1000×10</w:t>
      </w:r>
      <w:r>
        <w:rPr>
          <w:rFonts w:hint="eastAsia"/>
          <w:color w:val="auto"/>
          <w:szCs w:val="21"/>
          <w:highlight w:val="none"/>
          <w:vertAlign w:val="superscript"/>
        </w:rPr>
        <w:t>-6</w:t>
      </w:r>
      <w:r>
        <w:rPr>
          <w:rFonts w:hint="eastAsia"/>
          <w:color w:val="auto"/>
          <w:szCs w:val="21"/>
          <w:highlight w:val="none"/>
        </w:rPr>
        <w:t>时，尚应给出单个试件的残余抗拉强度测值</w:t>
      </w:r>
      <w:r>
        <w:rPr>
          <w:color w:val="auto"/>
          <w:szCs w:val="21"/>
          <w:highlight w:val="none"/>
        </w:rPr>
        <w:t>。</w:t>
      </w:r>
    </w:p>
    <w:p w14:paraId="32B454F8">
      <w:pPr>
        <w:widowControl/>
        <w:kinsoku/>
        <w:overflowPunct/>
        <w:bidi w:val="0"/>
        <w:spacing w:before="50" w:line="360" w:lineRule="auto"/>
        <w:ind w:left="420"/>
        <w:jc w:val="left"/>
        <w:rPr>
          <w:color w:val="auto"/>
          <w:highlight w:val="none"/>
        </w:rPr>
      </w:pPr>
    </w:p>
    <w:p w14:paraId="759461FB">
      <w:pPr>
        <w:pStyle w:val="65"/>
        <w:kinsoku/>
        <w:overflowPunct/>
        <w:bidi w:val="0"/>
        <w:spacing w:before="156" w:beforeLines="50" w:after="156" w:afterLines="50" w:line="360" w:lineRule="auto"/>
        <w:outlineLvl w:val="1"/>
        <w:rPr>
          <w:color w:val="auto"/>
          <w:highlight w:val="none"/>
        </w:rPr>
      </w:pPr>
      <w:bookmarkStart w:id="39" w:name="_Toc16555"/>
      <w:r>
        <w:rPr>
          <w:rFonts w:hint="eastAsia"/>
          <w:color w:val="auto"/>
          <w:highlight w:val="none"/>
        </w:rPr>
        <w:t>6.7 劈裂抗拉强度试验</w:t>
      </w:r>
      <w:bookmarkEnd w:id="39"/>
    </w:p>
    <w:p w14:paraId="535967DC">
      <w:pPr>
        <w:kinsoku/>
        <w:overflowPunct/>
        <w:bidi w:val="0"/>
        <w:spacing w:before="156" w:beforeLines="50" w:line="360" w:lineRule="auto"/>
        <w:rPr>
          <w:color w:val="auto"/>
          <w:szCs w:val="21"/>
          <w:highlight w:val="none"/>
          <w:lang w:val="nb-NO"/>
        </w:rPr>
      </w:pPr>
      <w:r>
        <w:rPr>
          <w:rFonts w:hint="eastAsia"/>
          <w:color w:val="auto"/>
          <w:szCs w:val="21"/>
          <w:highlight w:val="none"/>
          <w:lang w:val="nb-NO"/>
        </w:rPr>
        <w:t>6.7</w:t>
      </w:r>
      <w:r>
        <w:rPr>
          <w:color w:val="auto"/>
          <w:szCs w:val="21"/>
          <w:highlight w:val="none"/>
          <w:lang w:val="nb-NO"/>
        </w:rPr>
        <w:t>.</w:t>
      </w:r>
      <w:r>
        <w:rPr>
          <w:rFonts w:hint="eastAsia"/>
          <w:color w:val="auto"/>
          <w:szCs w:val="21"/>
          <w:highlight w:val="none"/>
          <w:lang w:val="nb-NO"/>
        </w:rPr>
        <w:t>1</w:t>
      </w:r>
      <w:r>
        <w:rPr>
          <w:rFonts w:hint="eastAsia"/>
          <w:color w:val="auto"/>
          <w:szCs w:val="21"/>
          <w:highlight w:val="none"/>
        </w:rPr>
        <w:t xml:space="preserve"> 测定超高性能</w:t>
      </w:r>
      <w:r>
        <w:rPr>
          <w:rFonts w:hint="eastAsia"/>
          <w:color w:val="auto"/>
          <w:szCs w:val="21"/>
          <w:highlight w:val="none"/>
          <w:lang w:val="nb-NO"/>
        </w:rPr>
        <w:t xml:space="preserve">混凝土劈裂抗拉强度试验的试件尺寸和数量应符合下列规定： </w:t>
      </w:r>
    </w:p>
    <w:p w14:paraId="27F24528">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1标准试件</w:t>
      </w:r>
      <w:r>
        <w:rPr>
          <w:rFonts w:hint="eastAsia"/>
          <w:color w:val="auto"/>
          <w:szCs w:val="21"/>
          <w:highlight w:val="none"/>
          <w:lang w:val="nb-NO"/>
        </w:rPr>
        <w:t>应</w:t>
      </w:r>
      <w:r>
        <w:rPr>
          <w:color w:val="auto"/>
          <w:szCs w:val="21"/>
          <w:highlight w:val="none"/>
          <w:lang w:val="nb-NO"/>
        </w:rPr>
        <w:t>是边长为150mm的立方体试件</w:t>
      </w:r>
      <w:r>
        <w:rPr>
          <w:rFonts w:hint="eastAsia"/>
          <w:color w:val="auto"/>
          <w:szCs w:val="21"/>
          <w:highlight w:val="none"/>
          <w:lang w:val="nb-NO"/>
        </w:rPr>
        <w:t>；</w:t>
      </w:r>
    </w:p>
    <w:p w14:paraId="6D2D8CBB">
      <w:pPr>
        <w:kinsoku/>
        <w:overflowPunct/>
        <w:bidi w:val="0"/>
        <w:spacing w:before="156" w:beforeLines="50" w:line="360" w:lineRule="auto"/>
        <w:ind w:firstLine="315" w:firstLineChars="150"/>
        <w:rPr>
          <w:bCs/>
          <w:color w:val="auto"/>
          <w:szCs w:val="21"/>
          <w:highlight w:val="none"/>
          <w:lang w:val="nb-NO"/>
        </w:rPr>
      </w:pPr>
      <w:r>
        <w:rPr>
          <w:color w:val="auto"/>
          <w:szCs w:val="21"/>
          <w:highlight w:val="none"/>
        </w:rPr>
        <w:t>2</w:t>
      </w:r>
      <w:r>
        <w:rPr>
          <w:rFonts w:hint="eastAsia"/>
          <w:color w:val="auto"/>
          <w:szCs w:val="21"/>
          <w:highlight w:val="none"/>
          <w:lang w:val="nb-NO"/>
        </w:rPr>
        <w:t xml:space="preserve"> </w:t>
      </w:r>
      <w:r>
        <w:rPr>
          <w:rFonts w:hint="eastAsia"/>
          <w:bCs/>
          <w:color w:val="auto"/>
          <w:szCs w:val="21"/>
          <w:highlight w:val="none"/>
        </w:rPr>
        <w:t>每组试件应为3块</w:t>
      </w:r>
      <w:r>
        <w:rPr>
          <w:rFonts w:hint="eastAsia"/>
          <w:bCs/>
          <w:color w:val="auto"/>
          <w:szCs w:val="21"/>
          <w:highlight w:val="none"/>
          <w:lang w:val="nb-NO"/>
        </w:rPr>
        <w:t>。</w:t>
      </w:r>
    </w:p>
    <w:p w14:paraId="077CDA1F">
      <w:pPr>
        <w:kinsoku/>
        <w:overflowPunct/>
        <w:bidi w:val="0"/>
        <w:spacing w:before="156" w:beforeLines="50" w:line="360" w:lineRule="auto"/>
        <w:rPr>
          <w:bCs/>
          <w:color w:val="auto"/>
          <w:szCs w:val="21"/>
          <w:highlight w:val="none"/>
        </w:rPr>
      </w:pPr>
      <w:r>
        <w:rPr>
          <w:rFonts w:hint="eastAsia"/>
          <w:bCs/>
          <w:color w:val="auto"/>
          <w:szCs w:val="21"/>
          <w:highlight w:val="none"/>
          <w:lang w:val="nb-NO"/>
        </w:rPr>
        <w:t>6.7</w:t>
      </w:r>
      <w:r>
        <w:rPr>
          <w:bCs/>
          <w:color w:val="auto"/>
          <w:szCs w:val="21"/>
          <w:highlight w:val="none"/>
          <w:lang w:val="nb-NO"/>
        </w:rPr>
        <w:t>.</w:t>
      </w:r>
      <w:r>
        <w:rPr>
          <w:rFonts w:hint="eastAsia"/>
          <w:bCs/>
          <w:color w:val="auto"/>
          <w:szCs w:val="21"/>
          <w:highlight w:val="none"/>
          <w:lang w:val="nb-NO"/>
        </w:rPr>
        <w:t>2 试验仪器设备应符合下列规定：</w:t>
      </w:r>
    </w:p>
    <w:p w14:paraId="5BC89839">
      <w:pPr>
        <w:kinsoku/>
        <w:overflowPunct/>
        <w:bidi w:val="0"/>
        <w:spacing w:before="156" w:beforeLines="50" w:line="360" w:lineRule="auto"/>
        <w:ind w:firstLine="315" w:firstLineChars="150"/>
        <w:rPr>
          <w:bCs/>
          <w:color w:val="auto"/>
          <w:szCs w:val="21"/>
          <w:highlight w:val="none"/>
          <w:lang w:val="nb-NO"/>
        </w:rPr>
      </w:pPr>
      <w:r>
        <w:rPr>
          <w:bCs/>
          <w:color w:val="auto"/>
          <w:szCs w:val="21"/>
          <w:highlight w:val="none"/>
          <w:lang w:val="nb-NO"/>
        </w:rPr>
        <w:t>1</w:t>
      </w:r>
      <w:bookmarkStart w:id="40" w:name="OLE_LINK26"/>
      <w:bookmarkStart w:id="41" w:name="OLE_LINK25"/>
      <w:r>
        <w:rPr>
          <w:rFonts w:hint="eastAsia"/>
          <w:bCs/>
          <w:color w:val="auto"/>
          <w:szCs w:val="21"/>
          <w:highlight w:val="none"/>
          <w:lang w:val="nb-NO"/>
        </w:rPr>
        <w:t xml:space="preserve"> 压力</w:t>
      </w:r>
      <w:r>
        <w:rPr>
          <w:bCs/>
          <w:color w:val="auto"/>
          <w:szCs w:val="21"/>
          <w:highlight w:val="none"/>
          <w:lang w:val="nb-NO"/>
        </w:rPr>
        <w:t>试验机应符合</w:t>
      </w:r>
      <w:r>
        <w:rPr>
          <w:rFonts w:hint="eastAsia"/>
          <w:bCs/>
          <w:color w:val="auto"/>
          <w:szCs w:val="21"/>
          <w:highlight w:val="none"/>
        </w:rPr>
        <w:t>本标准第6.1.3条</w:t>
      </w:r>
      <w:r>
        <w:rPr>
          <w:rFonts w:hint="eastAsia"/>
          <w:bCs/>
          <w:color w:val="auto"/>
          <w:szCs w:val="21"/>
          <w:highlight w:val="none"/>
          <w:lang w:val="nb-NO"/>
        </w:rPr>
        <w:t>中第1款</w:t>
      </w:r>
      <w:r>
        <w:rPr>
          <w:bCs/>
          <w:color w:val="auto"/>
          <w:szCs w:val="21"/>
          <w:highlight w:val="none"/>
          <w:lang w:val="nb-NO"/>
        </w:rPr>
        <w:t>的规定。</w:t>
      </w:r>
    </w:p>
    <w:bookmarkEnd w:id="40"/>
    <w:bookmarkEnd w:id="41"/>
    <w:p w14:paraId="3984AF0E">
      <w:pPr>
        <w:kinsoku/>
        <w:overflowPunct/>
        <w:bidi w:val="0"/>
        <w:spacing w:before="156" w:beforeLines="50" w:line="360" w:lineRule="auto"/>
        <w:ind w:firstLine="315" w:firstLineChars="150"/>
        <w:rPr>
          <w:color w:val="auto"/>
          <w:szCs w:val="21"/>
          <w:highlight w:val="none"/>
          <w:lang w:val="nb-NO"/>
        </w:rPr>
      </w:pPr>
      <w:r>
        <w:rPr>
          <w:bCs/>
          <w:color w:val="auto"/>
          <w:szCs w:val="21"/>
          <w:highlight w:val="none"/>
          <w:lang w:val="nb-NO"/>
        </w:rPr>
        <w:t>2</w:t>
      </w:r>
      <w:r>
        <w:rPr>
          <w:rFonts w:hint="eastAsia"/>
          <w:color w:val="auto"/>
          <w:szCs w:val="21"/>
          <w:highlight w:val="none"/>
          <w:lang w:val="nb-NO"/>
        </w:rPr>
        <w:t xml:space="preserve"> 垫块应采用</w:t>
      </w:r>
      <w:r>
        <w:rPr>
          <w:color w:val="auto"/>
          <w:szCs w:val="21"/>
          <w:highlight w:val="none"/>
          <w:lang w:val="nb-NO"/>
        </w:rPr>
        <w:t>半径为75mm的钢制弧形垫块，其横截面尺寸如图</w:t>
      </w:r>
      <w:r>
        <w:rPr>
          <w:rFonts w:hint="eastAsia"/>
          <w:color w:val="auto"/>
          <w:szCs w:val="21"/>
          <w:highlight w:val="none"/>
          <w:lang w:val="nb-NO"/>
        </w:rPr>
        <w:t>6.7</w:t>
      </w:r>
      <w:r>
        <w:rPr>
          <w:color w:val="auto"/>
          <w:szCs w:val="21"/>
          <w:highlight w:val="none"/>
          <w:lang w:val="nb-NO"/>
        </w:rPr>
        <w:t>.</w:t>
      </w:r>
      <w:r>
        <w:rPr>
          <w:rFonts w:hint="eastAsia"/>
          <w:color w:val="auto"/>
          <w:szCs w:val="21"/>
          <w:highlight w:val="none"/>
          <w:lang w:val="nb-NO"/>
        </w:rPr>
        <w:t>2-1</w:t>
      </w:r>
      <w:r>
        <w:rPr>
          <w:color w:val="auto"/>
          <w:szCs w:val="21"/>
          <w:highlight w:val="none"/>
          <w:lang w:val="nb-NO"/>
        </w:rPr>
        <w:t>所示，垫块的长度</w:t>
      </w:r>
      <w:r>
        <w:rPr>
          <w:rFonts w:hint="eastAsia"/>
          <w:color w:val="auto"/>
          <w:szCs w:val="21"/>
          <w:highlight w:val="none"/>
          <w:lang w:val="nb-NO"/>
        </w:rPr>
        <w:t>应</w:t>
      </w:r>
      <w:r>
        <w:rPr>
          <w:color w:val="auto"/>
          <w:szCs w:val="21"/>
          <w:highlight w:val="none"/>
          <w:lang w:val="nb-NO"/>
        </w:rPr>
        <w:t>与试件相同。</w:t>
      </w:r>
    </w:p>
    <w:p w14:paraId="323C7897">
      <w:pPr>
        <w:kinsoku/>
        <w:overflowPunct/>
        <w:bidi w:val="0"/>
        <w:spacing w:before="156" w:beforeLines="50" w:line="360" w:lineRule="auto"/>
        <w:ind w:firstLine="315" w:firstLineChars="150"/>
        <w:jc w:val="center"/>
        <w:rPr>
          <w:color w:val="auto"/>
          <w:szCs w:val="21"/>
          <w:highlight w:val="none"/>
          <w:lang w:val="nb-NO"/>
        </w:rPr>
      </w:pPr>
      <w:r>
        <w:rPr>
          <w:color w:val="auto"/>
          <w:szCs w:val="21"/>
          <w:highlight w:val="none"/>
        </w:rPr>
        <w:drawing>
          <wp:inline distT="0" distB="0" distL="0" distR="0">
            <wp:extent cx="3788410" cy="1047750"/>
            <wp:effectExtent l="0" t="0" r="2540" b="0"/>
            <wp:docPr id="1163116916" name="图片 116311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16916" name="图片 1163116916"/>
                    <pic:cNvPicPr>
                      <a:picLocks noChangeAspect="1" noChangeArrowheads="1"/>
                    </pic:cNvPicPr>
                  </pic:nvPicPr>
                  <pic:blipFill>
                    <a:blip r:embed="rId114" cstate="print">
                      <a:extLst>
                        <a:ext uri="{28A0092B-C50C-407E-A947-70E740481C1C}">
                          <a14:useLocalDpi xmlns:a14="http://schemas.microsoft.com/office/drawing/2010/main" val="0"/>
                        </a:ext>
                      </a:extLst>
                    </a:blip>
                    <a:srcRect b="75877"/>
                    <a:stretch>
                      <a:fillRect/>
                    </a:stretch>
                  </pic:blipFill>
                  <pic:spPr>
                    <a:xfrm>
                      <a:off x="0" y="0"/>
                      <a:ext cx="3790950" cy="1048356"/>
                    </a:xfrm>
                    <a:prstGeom prst="rect">
                      <a:avLst/>
                    </a:prstGeom>
                    <a:noFill/>
                    <a:ln>
                      <a:noFill/>
                    </a:ln>
                  </pic:spPr>
                </pic:pic>
              </a:graphicData>
            </a:graphic>
          </wp:inline>
        </w:drawing>
      </w:r>
    </w:p>
    <w:p w14:paraId="54EAFDCA">
      <w:pPr>
        <w:kinsoku/>
        <w:overflowPunct/>
        <w:bidi w:val="0"/>
        <w:spacing w:before="156" w:beforeLines="50" w:line="360" w:lineRule="auto"/>
        <w:ind w:firstLine="315" w:firstLineChars="150"/>
        <w:jc w:val="center"/>
        <w:rPr>
          <w:color w:val="auto"/>
          <w:szCs w:val="21"/>
          <w:highlight w:val="none"/>
          <w:lang w:val="nb-NO"/>
        </w:rPr>
      </w:pPr>
      <w:r>
        <w:rPr>
          <w:rFonts w:hint="eastAsia"/>
          <w:color w:val="auto"/>
          <w:szCs w:val="21"/>
          <w:highlight w:val="none"/>
          <w:lang w:val="nb-NO"/>
        </w:rPr>
        <w:t>图6.7.2-1 垫块（mm）</w:t>
      </w:r>
    </w:p>
    <w:p w14:paraId="56170C6B">
      <w:pPr>
        <w:kinsoku/>
        <w:overflowPunct/>
        <w:bidi w:val="0"/>
        <w:spacing w:before="156" w:beforeLines="50" w:line="360" w:lineRule="auto"/>
        <w:ind w:firstLine="420" w:firstLineChars="200"/>
        <w:rPr>
          <w:bCs/>
          <w:color w:val="auto"/>
          <w:szCs w:val="21"/>
          <w:highlight w:val="none"/>
          <w:lang w:val="nb-NO"/>
        </w:rPr>
      </w:pPr>
      <w:r>
        <w:rPr>
          <w:bCs/>
          <w:color w:val="auto"/>
          <w:szCs w:val="21"/>
          <w:highlight w:val="none"/>
          <w:lang w:val="nb-NO"/>
        </w:rPr>
        <w:t>3</w:t>
      </w:r>
      <w:r>
        <w:rPr>
          <w:rFonts w:hint="eastAsia"/>
          <w:bCs/>
          <w:color w:val="auto"/>
          <w:szCs w:val="21"/>
          <w:highlight w:val="none"/>
          <w:lang w:val="nb-NO"/>
        </w:rPr>
        <w:t xml:space="preserve"> 垫条应由普通胶合板或硬质纤维板制成，</w:t>
      </w:r>
      <w:r>
        <w:rPr>
          <w:bCs/>
          <w:color w:val="auto"/>
          <w:szCs w:val="21"/>
          <w:highlight w:val="none"/>
          <w:lang w:val="nb-NO"/>
        </w:rPr>
        <w:t>宽度</w:t>
      </w:r>
      <w:r>
        <w:rPr>
          <w:rFonts w:hint="eastAsia"/>
          <w:bCs/>
          <w:color w:val="auto"/>
          <w:szCs w:val="21"/>
          <w:highlight w:val="none"/>
          <w:lang w:val="nb-NO"/>
        </w:rPr>
        <w:t>应</w:t>
      </w:r>
      <w:r>
        <w:rPr>
          <w:bCs/>
          <w:color w:val="auto"/>
          <w:szCs w:val="21"/>
          <w:highlight w:val="none"/>
          <w:lang w:val="nb-NO"/>
        </w:rPr>
        <w:t>为</w:t>
      </w:r>
      <w:r>
        <w:rPr>
          <w:rFonts w:hint="eastAsia"/>
          <w:bCs/>
          <w:color w:val="auto"/>
          <w:szCs w:val="21"/>
          <w:highlight w:val="none"/>
          <w:lang w:val="nb-NO"/>
        </w:rPr>
        <w:t>20mm</w:t>
      </w:r>
      <w:r>
        <w:rPr>
          <w:bCs/>
          <w:color w:val="auto"/>
          <w:szCs w:val="21"/>
          <w:highlight w:val="none"/>
          <w:lang w:val="nb-NO"/>
        </w:rPr>
        <w:t>，厚度</w:t>
      </w:r>
      <w:r>
        <w:rPr>
          <w:rFonts w:hint="eastAsia"/>
          <w:bCs/>
          <w:color w:val="auto"/>
          <w:szCs w:val="21"/>
          <w:highlight w:val="none"/>
          <w:lang w:val="nb-NO"/>
        </w:rPr>
        <w:t>应</w:t>
      </w:r>
      <w:r>
        <w:rPr>
          <w:bCs/>
          <w:color w:val="auto"/>
          <w:szCs w:val="21"/>
          <w:highlight w:val="none"/>
          <w:lang w:val="nb-NO"/>
        </w:rPr>
        <w:t>为</w:t>
      </w:r>
      <w:r>
        <w:rPr>
          <w:rFonts w:hint="eastAsia"/>
          <w:bCs/>
          <w:color w:val="auto"/>
          <w:szCs w:val="21"/>
          <w:highlight w:val="none"/>
          <w:lang w:val="nb-NO"/>
        </w:rPr>
        <w:t>3mm~</w:t>
      </w:r>
      <w:r>
        <w:rPr>
          <w:bCs/>
          <w:color w:val="auto"/>
          <w:szCs w:val="21"/>
          <w:highlight w:val="none"/>
          <w:lang w:val="nb-NO"/>
        </w:rPr>
        <w:t>4mm，长度不</w:t>
      </w:r>
      <w:r>
        <w:rPr>
          <w:rFonts w:hint="eastAsia"/>
          <w:bCs/>
          <w:color w:val="auto"/>
          <w:szCs w:val="21"/>
          <w:highlight w:val="none"/>
          <w:lang w:val="nb-NO"/>
        </w:rPr>
        <w:t>应</w:t>
      </w:r>
      <w:r>
        <w:rPr>
          <w:bCs/>
          <w:color w:val="auto"/>
          <w:szCs w:val="21"/>
          <w:highlight w:val="none"/>
          <w:lang w:val="nb-NO"/>
        </w:rPr>
        <w:t>小于试件长度，垫条不得重复使用</w:t>
      </w:r>
      <w:r>
        <w:rPr>
          <w:rFonts w:hint="eastAsia"/>
          <w:bCs/>
          <w:color w:val="auto"/>
          <w:szCs w:val="21"/>
          <w:highlight w:val="none"/>
          <w:lang w:val="nb-NO"/>
        </w:rPr>
        <w:t>。普通胶合板应满足现行国家标准《普通胶合板》GB/T 9846中一等品及以上有关要求，硬质纤维板密度不应小于900kg/m</w:t>
      </w:r>
      <w:r>
        <w:rPr>
          <w:rFonts w:hint="eastAsia"/>
          <w:bCs/>
          <w:color w:val="auto"/>
          <w:szCs w:val="21"/>
          <w:highlight w:val="none"/>
          <w:vertAlign w:val="superscript"/>
          <w:lang w:val="nb-NO"/>
        </w:rPr>
        <w:t>3</w:t>
      </w:r>
      <w:r>
        <w:rPr>
          <w:rFonts w:hint="eastAsia"/>
          <w:bCs/>
          <w:color w:val="auto"/>
          <w:szCs w:val="21"/>
          <w:highlight w:val="none"/>
          <w:lang w:val="nb-NO"/>
        </w:rPr>
        <w:t>，表面应砂光，其他性能应满足现行国标标准《湿法硬质纤维板》GB/T 12626的有关要求</w:t>
      </w:r>
      <w:r>
        <w:rPr>
          <w:bCs/>
          <w:color w:val="auto"/>
          <w:szCs w:val="21"/>
          <w:highlight w:val="none"/>
          <w:lang w:val="nb-NO"/>
        </w:rPr>
        <w:t>。</w:t>
      </w:r>
    </w:p>
    <w:p w14:paraId="4D443D23">
      <w:pPr>
        <w:kinsoku/>
        <w:overflowPunct/>
        <w:bidi w:val="0"/>
        <w:spacing w:before="156" w:beforeLines="50" w:line="360" w:lineRule="auto"/>
        <w:ind w:firstLine="420" w:firstLineChars="200"/>
        <w:rPr>
          <w:b/>
          <w:color w:val="auto"/>
          <w:szCs w:val="21"/>
          <w:highlight w:val="none"/>
          <w:lang w:val="nb-NO"/>
        </w:rPr>
      </w:pPr>
      <w:r>
        <w:rPr>
          <w:bCs/>
          <w:color w:val="auto"/>
          <w:szCs w:val="21"/>
          <w:highlight w:val="none"/>
          <w:lang w:val="nb-NO"/>
        </w:rPr>
        <w:t>4</w:t>
      </w:r>
      <w:r>
        <w:rPr>
          <w:rFonts w:hint="eastAsia"/>
          <w:b/>
          <w:color w:val="auto"/>
          <w:szCs w:val="21"/>
          <w:highlight w:val="none"/>
          <w:lang w:val="nb-NO"/>
        </w:rPr>
        <w:t xml:space="preserve"> </w:t>
      </w:r>
      <w:r>
        <w:rPr>
          <w:rFonts w:hint="eastAsia"/>
          <w:color w:val="auto"/>
          <w:szCs w:val="21"/>
          <w:highlight w:val="none"/>
          <w:lang w:val="nb-NO"/>
        </w:rPr>
        <w:t>定位架应为钢支架，如图6.7.2-2所示。</w:t>
      </w:r>
    </w:p>
    <w:p w14:paraId="4DEA4081">
      <w:pPr>
        <w:kinsoku/>
        <w:overflowPunct/>
        <w:bidi w:val="0"/>
        <w:spacing w:before="156" w:beforeLines="50" w:line="360" w:lineRule="auto"/>
        <w:ind w:firstLine="315" w:firstLineChars="150"/>
        <w:jc w:val="center"/>
        <w:rPr>
          <w:color w:val="auto"/>
          <w:szCs w:val="21"/>
          <w:highlight w:val="none"/>
          <w:lang w:val="nb-NO"/>
        </w:rPr>
      </w:pPr>
      <w:r>
        <w:rPr>
          <w:color w:val="auto"/>
          <w:highlight w:val="none"/>
        </w:rPr>
        <w:drawing>
          <wp:inline distT="0" distB="0" distL="114300" distR="114300">
            <wp:extent cx="1860550" cy="2113280"/>
            <wp:effectExtent l="0" t="0" r="6350" b="7620"/>
            <wp:docPr id="7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4"/>
                    <pic:cNvPicPr>
                      <a:picLocks noChangeAspect="1"/>
                    </pic:cNvPicPr>
                  </pic:nvPicPr>
                  <pic:blipFill>
                    <a:blip r:embed="rId115"/>
                    <a:stretch>
                      <a:fillRect/>
                    </a:stretch>
                  </pic:blipFill>
                  <pic:spPr>
                    <a:xfrm>
                      <a:off x="0" y="0"/>
                      <a:ext cx="1860550" cy="2113280"/>
                    </a:xfrm>
                    <a:prstGeom prst="rect">
                      <a:avLst/>
                    </a:prstGeom>
                    <a:noFill/>
                    <a:ln w="9525">
                      <a:noFill/>
                    </a:ln>
                  </pic:spPr>
                </pic:pic>
              </a:graphicData>
            </a:graphic>
          </wp:inline>
        </w:drawing>
      </w:r>
    </w:p>
    <w:p w14:paraId="2EB97812">
      <w:pPr>
        <w:kinsoku/>
        <w:overflowPunct/>
        <w:bidi w:val="0"/>
        <w:spacing w:before="156" w:beforeLines="50" w:line="360" w:lineRule="auto"/>
        <w:ind w:firstLine="315" w:firstLineChars="150"/>
        <w:jc w:val="center"/>
        <w:rPr>
          <w:color w:val="auto"/>
          <w:szCs w:val="21"/>
          <w:highlight w:val="none"/>
          <w:lang w:val="nb-NO"/>
        </w:rPr>
      </w:pPr>
      <w:r>
        <w:rPr>
          <w:rFonts w:hint="eastAsia"/>
          <w:color w:val="auto"/>
          <w:szCs w:val="21"/>
          <w:highlight w:val="none"/>
          <w:lang w:val="nb-NO"/>
        </w:rPr>
        <w:t>图6.7.3-2 定位支架示意</w:t>
      </w:r>
    </w:p>
    <w:p w14:paraId="1C4010E6">
      <w:pPr>
        <w:kinsoku/>
        <w:overflowPunct/>
        <w:bidi w:val="0"/>
        <w:spacing w:before="156" w:beforeLines="50" w:line="360" w:lineRule="auto"/>
        <w:ind w:firstLine="270" w:firstLineChars="150"/>
        <w:jc w:val="center"/>
        <w:rPr>
          <w:color w:val="auto"/>
          <w:sz w:val="18"/>
          <w:szCs w:val="18"/>
          <w:highlight w:val="none"/>
          <w:lang w:val="nb-NO"/>
        </w:rPr>
      </w:pPr>
      <w:r>
        <w:rPr>
          <w:rFonts w:hint="eastAsia"/>
          <w:color w:val="auto"/>
          <w:sz w:val="18"/>
          <w:szCs w:val="18"/>
          <w:highlight w:val="none"/>
          <w:lang w:val="nb-NO"/>
        </w:rPr>
        <w:t>1—垫块；2—垫条；3—支架</w:t>
      </w:r>
    </w:p>
    <w:p w14:paraId="60D51088">
      <w:pPr>
        <w:kinsoku/>
        <w:overflowPunct/>
        <w:bidi w:val="0"/>
        <w:spacing w:before="156" w:beforeLines="50" w:line="360" w:lineRule="auto"/>
        <w:ind w:firstLine="420" w:firstLineChars="200"/>
        <w:rPr>
          <w:bCs/>
          <w:color w:val="auto"/>
          <w:szCs w:val="21"/>
          <w:highlight w:val="none"/>
          <w:lang w:val="nb-NO"/>
        </w:rPr>
      </w:pPr>
      <w:bookmarkStart w:id="42" w:name="OLE_LINK28"/>
      <w:bookmarkStart w:id="43" w:name="OLE_LINK27"/>
      <w:r>
        <w:rPr>
          <w:rFonts w:hint="eastAsia"/>
          <w:bCs/>
          <w:color w:val="auto"/>
          <w:szCs w:val="21"/>
          <w:highlight w:val="none"/>
          <w:lang w:val="nb-NO"/>
        </w:rPr>
        <w:t>6.7</w:t>
      </w:r>
      <w:r>
        <w:rPr>
          <w:bCs/>
          <w:color w:val="auto"/>
          <w:szCs w:val="21"/>
          <w:highlight w:val="none"/>
          <w:lang w:val="nb-NO"/>
        </w:rPr>
        <w:t>.</w:t>
      </w:r>
      <w:r>
        <w:rPr>
          <w:rFonts w:hint="eastAsia"/>
          <w:bCs/>
          <w:color w:val="auto"/>
          <w:szCs w:val="21"/>
          <w:highlight w:val="none"/>
          <w:lang w:val="nb-NO"/>
        </w:rPr>
        <w:t xml:space="preserve">3 </w:t>
      </w:r>
      <w:r>
        <w:rPr>
          <w:bCs/>
          <w:color w:val="auto"/>
          <w:szCs w:val="21"/>
          <w:highlight w:val="none"/>
          <w:lang w:val="nb-NO"/>
        </w:rPr>
        <w:t>劈裂抗拉强度试验应按下列步骤进行：</w:t>
      </w:r>
    </w:p>
    <w:p w14:paraId="68E82E76">
      <w:pPr>
        <w:kinsoku/>
        <w:overflowPunct/>
        <w:bidi w:val="0"/>
        <w:spacing w:before="156" w:beforeLines="50" w:line="360" w:lineRule="auto"/>
        <w:ind w:firstLine="420" w:firstLineChars="200"/>
        <w:rPr>
          <w:bCs/>
          <w:color w:val="auto"/>
          <w:szCs w:val="21"/>
          <w:highlight w:val="none"/>
          <w:lang w:val="nb-NO"/>
        </w:rPr>
      </w:pPr>
      <w:r>
        <w:rPr>
          <w:bCs/>
          <w:color w:val="auto"/>
          <w:szCs w:val="21"/>
          <w:highlight w:val="none"/>
          <w:lang w:val="nb-NO"/>
        </w:rPr>
        <w:t xml:space="preserve">1 </w:t>
      </w:r>
      <w:r>
        <w:rPr>
          <w:rFonts w:hint="eastAsia"/>
          <w:bCs/>
          <w:color w:val="auto"/>
          <w:szCs w:val="21"/>
          <w:highlight w:val="none"/>
          <w:lang w:val="nb-NO"/>
        </w:rPr>
        <w:t>试件到达试验龄期时，从养护地点取出后，应检查其尺寸及形状，尺寸公差应满足本标准第4.</w:t>
      </w:r>
      <w:r>
        <w:rPr>
          <w:rFonts w:hint="eastAsia"/>
          <w:bCs/>
          <w:color w:val="auto"/>
          <w:szCs w:val="21"/>
          <w:highlight w:val="none"/>
          <w:lang w:val="nb-NO" w:eastAsia="zh"/>
          <w:woUserID w:val="3"/>
        </w:rPr>
        <w:t>3</w:t>
      </w:r>
      <w:r>
        <w:rPr>
          <w:rFonts w:hint="eastAsia"/>
          <w:bCs/>
          <w:color w:val="auto"/>
          <w:szCs w:val="21"/>
          <w:highlight w:val="none"/>
          <w:lang w:val="nb-NO"/>
        </w:rPr>
        <w:t>节的规定，试件取出后应尽快进行试验。</w:t>
      </w:r>
    </w:p>
    <w:p w14:paraId="2E4B44C7">
      <w:pPr>
        <w:kinsoku/>
        <w:overflowPunct/>
        <w:bidi w:val="0"/>
        <w:spacing w:before="156" w:beforeLines="50" w:line="360" w:lineRule="auto"/>
        <w:ind w:firstLine="420" w:firstLineChars="200"/>
        <w:rPr>
          <w:bCs/>
          <w:color w:val="auto"/>
          <w:szCs w:val="21"/>
          <w:highlight w:val="none"/>
          <w:lang w:val="nb-NO"/>
        </w:rPr>
      </w:pPr>
      <w:r>
        <w:rPr>
          <w:bCs/>
          <w:color w:val="auto"/>
          <w:szCs w:val="21"/>
          <w:highlight w:val="none"/>
          <w:lang w:val="nb-NO"/>
        </w:rPr>
        <w:t xml:space="preserve">2 </w:t>
      </w:r>
      <w:r>
        <w:rPr>
          <w:rFonts w:hint="eastAsia"/>
          <w:bCs/>
          <w:color w:val="auto"/>
          <w:szCs w:val="21"/>
          <w:highlight w:val="none"/>
          <w:lang w:val="nb-NO"/>
        </w:rPr>
        <w:t>试件放置试验机前，应将试件表面与上、下承压板面擦拭干净。在试件成型时的顶面和底面中部划出相互平行的直线，准确定出劈裂面的位置。</w:t>
      </w:r>
    </w:p>
    <w:p w14:paraId="189A4CF4">
      <w:pPr>
        <w:kinsoku/>
        <w:overflowPunct/>
        <w:bidi w:val="0"/>
        <w:spacing w:before="156" w:beforeLines="50" w:line="360" w:lineRule="auto"/>
        <w:ind w:firstLine="420" w:firstLineChars="200"/>
        <w:rPr>
          <w:color w:val="auto"/>
          <w:szCs w:val="21"/>
          <w:highlight w:val="none"/>
          <w:lang w:val="nb-NO"/>
        </w:rPr>
      </w:pPr>
      <w:r>
        <w:rPr>
          <w:bCs/>
          <w:color w:val="auto"/>
          <w:szCs w:val="21"/>
          <w:highlight w:val="none"/>
          <w:lang w:val="nb-NO"/>
        </w:rPr>
        <w:t>3</w:t>
      </w:r>
      <w:r>
        <w:rPr>
          <w:rFonts w:hint="eastAsia"/>
          <w:bCs/>
          <w:color w:val="auto"/>
          <w:szCs w:val="21"/>
          <w:highlight w:val="none"/>
          <w:lang w:val="nb-NO"/>
        </w:rPr>
        <w:t xml:space="preserve"> </w:t>
      </w:r>
      <w:r>
        <w:rPr>
          <w:bCs/>
          <w:color w:val="auto"/>
          <w:szCs w:val="21"/>
          <w:highlight w:val="none"/>
          <w:lang w:val="nb-NO"/>
        </w:rPr>
        <w:t>将试件放在试验机下</w:t>
      </w:r>
      <w:r>
        <w:rPr>
          <w:rFonts w:hint="eastAsia"/>
          <w:bCs/>
          <w:color w:val="auto"/>
          <w:szCs w:val="21"/>
          <w:highlight w:val="none"/>
          <w:lang w:val="nb-NO"/>
        </w:rPr>
        <w:t>承</w:t>
      </w:r>
      <w:r>
        <w:rPr>
          <w:bCs/>
          <w:color w:val="auto"/>
          <w:szCs w:val="21"/>
          <w:highlight w:val="none"/>
          <w:lang w:val="nb-NO"/>
        </w:rPr>
        <w:t>压板的中心位置，劈裂承压面和劈裂面应与试件成型时的顶面垂直；在上、</w:t>
      </w:r>
      <w:r>
        <w:rPr>
          <w:color w:val="auto"/>
          <w:szCs w:val="21"/>
          <w:highlight w:val="none"/>
          <w:lang w:val="nb-NO"/>
        </w:rPr>
        <w:t>下压板与试件之间垫以圆弧形垫块及垫条各一条，垫块与垫条应与试件上、下面的中心线对准并与成型时的顶面垂直。宜把垫条及试件安装在定位架上使用</w:t>
      </w:r>
      <w:r>
        <w:rPr>
          <w:rFonts w:hint="eastAsia"/>
          <w:color w:val="auto"/>
          <w:szCs w:val="21"/>
          <w:highlight w:val="none"/>
          <w:lang w:val="nb-NO" w:eastAsia="zh"/>
          <w:woUserID w:val="3"/>
        </w:rPr>
        <w:t>（</w:t>
      </w:r>
      <w:r>
        <w:rPr>
          <w:color w:val="auto"/>
          <w:szCs w:val="21"/>
          <w:highlight w:val="none"/>
          <w:lang w:val="nb-NO"/>
        </w:rPr>
        <w:t>如图</w:t>
      </w:r>
      <w:r>
        <w:rPr>
          <w:rFonts w:hint="eastAsia"/>
          <w:color w:val="auto"/>
          <w:szCs w:val="21"/>
          <w:highlight w:val="none"/>
          <w:lang w:val="nb-NO"/>
        </w:rPr>
        <w:t>6.7</w:t>
      </w:r>
      <w:r>
        <w:rPr>
          <w:color w:val="auto"/>
          <w:szCs w:val="21"/>
          <w:highlight w:val="none"/>
          <w:lang w:val="nb-NO"/>
        </w:rPr>
        <w:t>.</w:t>
      </w:r>
      <w:r>
        <w:rPr>
          <w:rFonts w:hint="eastAsia"/>
          <w:color w:val="auto"/>
          <w:szCs w:val="21"/>
          <w:highlight w:val="none"/>
          <w:lang w:val="nb-NO"/>
        </w:rPr>
        <w:t>2-2</w:t>
      </w:r>
      <w:r>
        <w:rPr>
          <w:color w:val="auto"/>
          <w:szCs w:val="21"/>
          <w:highlight w:val="none"/>
          <w:lang w:val="nb-NO"/>
        </w:rPr>
        <w:t>所示</w:t>
      </w:r>
      <w:r>
        <w:rPr>
          <w:rFonts w:hint="eastAsia"/>
          <w:color w:val="auto"/>
          <w:szCs w:val="21"/>
          <w:highlight w:val="none"/>
          <w:lang w:val="nb-NO" w:eastAsia="zh"/>
          <w:woUserID w:val="3"/>
        </w:rPr>
        <w:t>）</w:t>
      </w:r>
      <w:r>
        <w:rPr>
          <w:color w:val="auto"/>
          <w:szCs w:val="21"/>
          <w:highlight w:val="none"/>
          <w:lang w:val="nb-NO"/>
        </w:rPr>
        <w:t>。</w:t>
      </w:r>
    </w:p>
    <w:p w14:paraId="7286EB21">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4</w:t>
      </w:r>
      <w:r>
        <w:rPr>
          <w:rFonts w:hint="eastAsia"/>
          <w:color w:val="auto"/>
          <w:szCs w:val="21"/>
          <w:highlight w:val="none"/>
          <w:lang w:val="nb-NO"/>
        </w:rPr>
        <w:t xml:space="preserve"> </w:t>
      </w:r>
      <w:r>
        <w:rPr>
          <w:color w:val="auto"/>
          <w:szCs w:val="21"/>
          <w:highlight w:val="none"/>
          <w:lang w:val="nb-NO"/>
        </w:rPr>
        <w:t>开动试验机，</w:t>
      </w:r>
      <w:r>
        <w:rPr>
          <w:rFonts w:hint="eastAsia"/>
          <w:color w:val="auto"/>
          <w:szCs w:val="21"/>
          <w:highlight w:val="none"/>
          <w:lang w:val="nb-NO"/>
        </w:rPr>
        <w:t>试件表面与上下承压板或钢垫板应均匀接触。</w:t>
      </w:r>
    </w:p>
    <w:bookmarkEnd w:id="42"/>
    <w:bookmarkEnd w:id="43"/>
    <w:p w14:paraId="3CF73D8F">
      <w:pPr>
        <w:kinsoku/>
        <w:overflowPunct/>
        <w:bidi w:val="0"/>
        <w:spacing w:before="156" w:beforeLines="50" w:line="360" w:lineRule="auto"/>
        <w:ind w:firstLine="315" w:firstLineChars="150"/>
        <w:rPr>
          <w:color w:val="auto"/>
          <w:szCs w:val="21"/>
          <w:highlight w:val="none"/>
          <w:lang w:val="nb-NO"/>
        </w:rPr>
      </w:pPr>
      <w:r>
        <w:rPr>
          <w:color w:val="auto"/>
          <w:szCs w:val="21"/>
          <w:highlight w:val="none"/>
        </w:rPr>
        <w:t>5</w:t>
      </w:r>
      <w:r>
        <w:rPr>
          <w:rFonts w:hint="eastAsia"/>
          <w:color w:val="auto"/>
          <w:szCs w:val="21"/>
          <w:highlight w:val="none"/>
        </w:rPr>
        <w:t xml:space="preserve"> </w:t>
      </w:r>
      <w:r>
        <w:rPr>
          <w:color w:val="auto"/>
          <w:szCs w:val="21"/>
          <w:highlight w:val="none"/>
          <w:lang w:val="nb-NO"/>
        </w:rPr>
        <w:t>在试验过程中应连续均匀地加荷，</w:t>
      </w:r>
      <w:r>
        <w:rPr>
          <w:color w:val="auto"/>
          <w:highlight w:val="none"/>
        </w:rPr>
        <w:t>加载速度</w:t>
      </w:r>
      <w:r>
        <w:rPr>
          <w:rFonts w:hint="eastAsia"/>
          <w:color w:val="auto"/>
          <w:highlight w:val="none"/>
        </w:rPr>
        <w:t>宜</w:t>
      </w:r>
      <w:r>
        <w:rPr>
          <w:color w:val="auto"/>
          <w:highlight w:val="none"/>
        </w:rPr>
        <w:t>取</w:t>
      </w:r>
      <w:r>
        <w:rPr>
          <w:rFonts w:hint="default" w:ascii="Times New Roman" w:hAnsi="Times New Roman" w:eastAsia="宋体" w:cs="Times New Roman"/>
          <w:color w:val="auto"/>
          <w:kern w:val="2"/>
          <w:sz w:val="21"/>
          <w:szCs w:val="24"/>
          <w:highlight w:val="none"/>
          <w:lang w:val="en-US" w:eastAsia="zh-CN" w:bidi="ar"/>
          <w:woUserID w:val="3"/>
        </w:rPr>
        <w:t>0.08 MPa/s~0.10 MPa/s</w:t>
      </w:r>
      <w:r>
        <w:rPr>
          <w:rFonts w:hint="eastAsia"/>
          <w:color w:val="auto"/>
          <w:szCs w:val="21"/>
          <w:highlight w:val="none"/>
          <w:lang w:val="nb-NO"/>
        </w:rPr>
        <w:t>。</w:t>
      </w:r>
    </w:p>
    <w:p w14:paraId="7401786E">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6</w:t>
      </w:r>
      <w:r>
        <w:rPr>
          <w:rFonts w:hint="eastAsia"/>
          <w:color w:val="auto"/>
          <w:szCs w:val="21"/>
          <w:highlight w:val="none"/>
          <w:lang w:val="nb-NO"/>
        </w:rPr>
        <w:t xml:space="preserve"> 采用手动控制压力机加荷速度时，当</w:t>
      </w:r>
      <w:r>
        <w:rPr>
          <w:color w:val="auto"/>
          <w:szCs w:val="21"/>
          <w:highlight w:val="none"/>
          <w:lang w:val="nb-NO"/>
        </w:rPr>
        <w:t>试件接近破坏时，应停止调整试验机油门，直至破坏。然后记录破坏荷载。</w:t>
      </w:r>
    </w:p>
    <w:p w14:paraId="7775F9DC">
      <w:pPr>
        <w:kinsoku/>
        <w:overflowPunct/>
        <w:bidi w:val="0"/>
        <w:spacing w:before="156" w:beforeLines="50" w:line="360" w:lineRule="auto"/>
        <w:ind w:firstLine="315" w:firstLineChars="150"/>
        <w:rPr>
          <w:color w:val="auto"/>
          <w:szCs w:val="21"/>
          <w:highlight w:val="none"/>
          <w:lang w:val="nb-NO"/>
        </w:rPr>
      </w:pPr>
      <w:r>
        <w:rPr>
          <w:color w:val="auto"/>
          <w:szCs w:val="21"/>
          <w:highlight w:val="none"/>
          <w:lang w:val="nb-NO"/>
        </w:rPr>
        <w:t>7</w:t>
      </w:r>
      <w:r>
        <w:rPr>
          <w:rFonts w:hint="eastAsia"/>
          <w:color w:val="auto"/>
          <w:szCs w:val="21"/>
          <w:highlight w:val="none"/>
          <w:lang w:val="nb-NO"/>
        </w:rPr>
        <w:t xml:space="preserve"> 断裂面应垂直于承压面：观察断裂面是否垂直于承压面，如不垂直即为不正常断裂，应做好试验记录。</w:t>
      </w:r>
    </w:p>
    <w:p w14:paraId="03FF6E54">
      <w:pPr>
        <w:kinsoku/>
        <w:overflowPunct/>
        <w:bidi w:val="0"/>
        <w:spacing w:before="156" w:beforeLines="50" w:line="360" w:lineRule="auto"/>
        <w:rPr>
          <w:color w:val="auto"/>
          <w:szCs w:val="21"/>
          <w:highlight w:val="none"/>
          <w:lang w:val="nb-NO"/>
        </w:rPr>
      </w:pPr>
      <w:r>
        <w:rPr>
          <w:rFonts w:hint="eastAsia"/>
          <w:color w:val="auto"/>
          <w:szCs w:val="21"/>
          <w:highlight w:val="none"/>
          <w:lang w:val="nb-NO"/>
        </w:rPr>
        <w:t>6.7</w:t>
      </w:r>
      <w:r>
        <w:rPr>
          <w:color w:val="auto"/>
          <w:szCs w:val="21"/>
          <w:highlight w:val="none"/>
          <w:lang w:val="nb-NO"/>
        </w:rPr>
        <w:t>.</w:t>
      </w:r>
      <w:r>
        <w:rPr>
          <w:rFonts w:hint="eastAsia"/>
          <w:color w:val="auto"/>
          <w:szCs w:val="21"/>
          <w:highlight w:val="none"/>
          <w:lang w:val="nb-NO"/>
        </w:rPr>
        <w:t xml:space="preserve">4 </w:t>
      </w:r>
      <w:r>
        <w:rPr>
          <w:rFonts w:hint="eastAsia"/>
          <w:color w:val="auto"/>
          <w:highlight w:val="none"/>
        </w:rPr>
        <w:t>超高性能</w:t>
      </w:r>
      <w:r>
        <w:rPr>
          <w:color w:val="auto"/>
          <w:szCs w:val="21"/>
          <w:highlight w:val="none"/>
          <w:lang w:val="nb-NO"/>
        </w:rPr>
        <w:t>混凝土劈裂抗拉强度试验结果计算及确定</w:t>
      </w:r>
      <w:r>
        <w:rPr>
          <w:rFonts w:hint="eastAsia"/>
          <w:color w:val="auto"/>
          <w:szCs w:val="21"/>
          <w:highlight w:val="none"/>
          <w:lang w:val="nb-NO"/>
        </w:rPr>
        <w:t>应</w:t>
      </w:r>
      <w:r>
        <w:rPr>
          <w:color w:val="auto"/>
          <w:szCs w:val="21"/>
          <w:highlight w:val="none"/>
          <w:lang w:val="nb-NO"/>
        </w:rPr>
        <w:t>按下列方法进行：</w:t>
      </w:r>
    </w:p>
    <w:p w14:paraId="7938344D">
      <w:pPr>
        <w:kinsoku/>
        <w:overflowPunct/>
        <w:bidi w:val="0"/>
        <w:spacing w:before="156" w:beforeLines="50" w:line="360" w:lineRule="auto"/>
        <w:ind w:firstLine="315" w:firstLineChars="150"/>
        <w:rPr>
          <w:color w:val="auto"/>
          <w:szCs w:val="21"/>
          <w:highlight w:val="none"/>
          <w:lang w:val="nb-NO"/>
        </w:rPr>
      </w:pPr>
      <w:r>
        <w:rPr>
          <w:color w:val="auto"/>
          <w:szCs w:val="21"/>
          <w:highlight w:val="none"/>
        </w:rPr>
        <w:t>1</w:t>
      </w:r>
      <w:r>
        <w:rPr>
          <w:rFonts w:hint="eastAsia"/>
          <w:color w:val="auto"/>
          <w:szCs w:val="21"/>
          <w:highlight w:val="none"/>
        </w:rPr>
        <w:t xml:space="preserve"> </w:t>
      </w:r>
      <w:r>
        <w:rPr>
          <w:rFonts w:hint="eastAsia"/>
          <w:color w:val="auto"/>
          <w:highlight w:val="none"/>
        </w:rPr>
        <w:t>超高性能</w:t>
      </w:r>
      <w:r>
        <w:rPr>
          <w:color w:val="auto"/>
          <w:szCs w:val="21"/>
          <w:highlight w:val="none"/>
          <w:lang w:val="nb-NO"/>
        </w:rPr>
        <w:t>混凝土劈裂抗拉强度应按下式计算：</w:t>
      </w:r>
    </w:p>
    <w:p w14:paraId="7C3B591E">
      <w:pPr>
        <w:kinsoku/>
        <w:overflowPunct/>
        <w:bidi w:val="0"/>
        <w:spacing w:before="156" w:beforeLines="50" w:line="360" w:lineRule="auto"/>
        <w:jc w:val="right"/>
        <w:rPr>
          <w:color w:val="auto"/>
          <w:szCs w:val="21"/>
          <w:highlight w:val="none"/>
          <w:lang w:val="nb-NO"/>
        </w:rPr>
      </w:pPr>
      <w:r>
        <w:rPr>
          <w:rFonts w:hint="eastAsia"/>
          <w:color w:val="auto"/>
          <w:position w:val="-24"/>
          <w:szCs w:val="21"/>
          <w:highlight w:val="none"/>
          <w:lang w:val="nb-NO"/>
        </w:rPr>
        <w:object>
          <v:shape id="_x0000_i1067" o:spt="75" type="#_x0000_t75" style="height:29.95pt;width:98.1pt;" o:ole="t" filled="f" o:preferrelative="t" stroked="f" coordsize="21600,21600">
            <v:path/>
            <v:fill on="f" focussize="0,0"/>
            <v:stroke on="f" joinstyle="miter"/>
            <v:imagedata r:id="rId117" o:title=""/>
            <o:lock v:ext="edit" aspectratio="t"/>
            <w10:wrap type="none"/>
            <w10:anchorlock/>
          </v:shape>
          <o:OLEObject Type="Embed" ProgID="Equation.DSMT4" ShapeID="_x0000_i1067" DrawAspect="Content" ObjectID="_1468075767" r:id="rId116">
            <o:LockedField>false</o:LockedField>
          </o:OLEObject>
        </w:object>
      </w:r>
      <w:r>
        <w:rPr>
          <w:rFonts w:hint="eastAsia"/>
          <w:color w:val="auto"/>
          <w:szCs w:val="21"/>
          <w:highlight w:val="none"/>
        </w:rPr>
        <w:t xml:space="preserve">                          （6.7.4）</w:t>
      </w:r>
    </w:p>
    <w:p w14:paraId="0BD6CA83">
      <w:pPr>
        <w:kinsoku/>
        <w:overflowPunct/>
        <w:bidi w:val="0"/>
        <w:spacing w:line="360" w:lineRule="auto"/>
        <w:ind w:firstLine="315" w:firstLineChars="150"/>
        <w:rPr>
          <w:color w:val="auto"/>
          <w:szCs w:val="21"/>
          <w:highlight w:val="none"/>
          <w:lang w:val="nb-NO"/>
        </w:rPr>
      </w:pPr>
      <w:r>
        <w:rPr>
          <w:color w:val="auto"/>
          <w:szCs w:val="21"/>
          <w:highlight w:val="none"/>
          <w:lang w:val="nb-NO"/>
        </w:rPr>
        <w:t>式中</w:t>
      </w:r>
      <w:r>
        <w:rPr>
          <w:color w:val="auto"/>
          <w:position w:val="-12"/>
          <w:szCs w:val="21"/>
          <w:highlight w:val="none"/>
          <w:lang w:val="nb-NO"/>
        </w:rPr>
        <w:object>
          <v:shape id="_x0000_i1068" o:spt="75" type="#_x0000_t75" style="height:19.05pt;width:14.8pt;" o:ole="t" filled="f" o:preferrelative="t" stroked="f" coordsize="21600,21600">
            <v:path/>
            <v:fill on="f" focussize="0,0"/>
            <v:stroke on="f" joinstyle="miter"/>
            <v:imagedata r:id="rId119" o:title=""/>
            <o:lock v:ext="edit" aspectratio="t"/>
            <w10:wrap type="none"/>
            <w10:anchorlock/>
          </v:shape>
          <o:OLEObject Type="Embed" ProgID="Equation.DSMT4" ShapeID="_x0000_i1068" DrawAspect="Content" ObjectID="_1468075768" r:id="rId118">
            <o:LockedField>false</o:LockedField>
          </o:OLEObject>
        </w:object>
      </w:r>
      <w:r>
        <w:rPr>
          <w:color w:val="auto"/>
          <w:szCs w:val="21"/>
          <w:highlight w:val="none"/>
          <w:lang w:val="nb-NO"/>
        </w:rPr>
        <w:t>——</w:t>
      </w:r>
      <w:r>
        <w:rPr>
          <w:rFonts w:hint="eastAsia"/>
          <w:color w:val="auto"/>
          <w:highlight w:val="none"/>
        </w:rPr>
        <w:t>超高性能</w:t>
      </w:r>
      <w:r>
        <w:rPr>
          <w:color w:val="auto"/>
          <w:szCs w:val="21"/>
          <w:highlight w:val="none"/>
          <w:lang w:val="nb-NO"/>
        </w:rPr>
        <w:t>混凝土劈裂抗拉强度</w:t>
      </w:r>
      <w:r>
        <w:rPr>
          <w:rFonts w:hint="eastAsia"/>
          <w:color w:val="auto"/>
          <w:szCs w:val="21"/>
          <w:highlight w:val="none"/>
          <w:lang w:val="nb-NO"/>
        </w:rPr>
        <w:t>（</w:t>
      </w:r>
      <w:r>
        <w:rPr>
          <w:color w:val="auto"/>
          <w:szCs w:val="21"/>
          <w:highlight w:val="none"/>
          <w:lang w:val="nb-NO"/>
        </w:rPr>
        <w:t>MPa</w:t>
      </w:r>
      <w:r>
        <w:rPr>
          <w:rFonts w:hint="eastAsia"/>
          <w:color w:val="auto"/>
          <w:szCs w:val="21"/>
          <w:highlight w:val="none"/>
          <w:lang w:val="nb-NO"/>
        </w:rPr>
        <w:t>），计算结果应精确至0.01MPa；</w:t>
      </w:r>
    </w:p>
    <w:p w14:paraId="4A23CBBF">
      <w:pPr>
        <w:kinsoku/>
        <w:overflowPunct/>
        <w:bidi w:val="0"/>
        <w:spacing w:line="360" w:lineRule="auto"/>
        <w:ind w:firstLine="945" w:firstLineChars="450"/>
        <w:rPr>
          <w:color w:val="auto"/>
          <w:szCs w:val="21"/>
          <w:highlight w:val="none"/>
          <w:lang w:val="nb-NO"/>
        </w:rPr>
      </w:pPr>
      <w:r>
        <w:rPr>
          <w:i/>
          <w:color w:val="auto"/>
          <w:szCs w:val="21"/>
          <w:highlight w:val="none"/>
          <w:lang w:val="nb-NO"/>
        </w:rPr>
        <w:t>F</w:t>
      </w:r>
      <w:r>
        <w:rPr>
          <w:color w:val="auto"/>
          <w:szCs w:val="21"/>
          <w:highlight w:val="none"/>
          <w:lang w:val="nb-NO"/>
        </w:rPr>
        <w:t>——试件破坏荷载</w:t>
      </w:r>
      <w:r>
        <w:rPr>
          <w:rFonts w:hint="eastAsia"/>
          <w:color w:val="auto"/>
          <w:szCs w:val="21"/>
          <w:highlight w:val="none"/>
          <w:lang w:val="nb-NO"/>
        </w:rPr>
        <w:t>（</w:t>
      </w:r>
      <w:r>
        <w:rPr>
          <w:color w:val="auto"/>
          <w:szCs w:val="21"/>
          <w:highlight w:val="none"/>
          <w:lang w:val="nb-NO"/>
        </w:rPr>
        <w:t>N</w:t>
      </w:r>
      <w:r>
        <w:rPr>
          <w:rFonts w:hint="eastAsia"/>
          <w:color w:val="auto"/>
          <w:szCs w:val="21"/>
          <w:highlight w:val="none"/>
          <w:lang w:val="nb-NO"/>
        </w:rPr>
        <w:t>）；</w:t>
      </w:r>
    </w:p>
    <w:p w14:paraId="5A4C3527">
      <w:pPr>
        <w:kinsoku/>
        <w:overflowPunct/>
        <w:bidi w:val="0"/>
        <w:spacing w:line="360" w:lineRule="auto"/>
        <w:ind w:firstLine="945" w:firstLineChars="450"/>
        <w:rPr>
          <w:color w:val="auto"/>
          <w:szCs w:val="21"/>
          <w:highlight w:val="none"/>
          <w:lang w:val="nb-NO"/>
        </w:rPr>
      </w:pPr>
      <w:r>
        <w:rPr>
          <w:i/>
          <w:color w:val="auto"/>
          <w:szCs w:val="21"/>
          <w:highlight w:val="none"/>
          <w:lang w:val="nb-NO"/>
        </w:rPr>
        <w:t>A</w:t>
      </w:r>
      <w:r>
        <w:rPr>
          <w:color w:val="auto"/>
          <w:szCs w:val="21"/>
          <w:highlight w:val="none"/>
          <w:lang w:val="nb-NO"/>
        </w:rPr>
        <w:t>——试件劈裂面面积</w:t>
      </w:r>
      <w:r>
        <w:rPr>
          <w:rFonts w:hint="eastAsia"/>
          <w:color w:val="auto"/>
          <w:szCs w:val="21"/>
          <w:highlight w:val="none"/>
          <w:lang w:val="nb-NO"/>
        </w:rPr>
        <w:t>（</w:t>
      </w:r>
      <w:r>
        <w:rPr>
          <w:color w:val="auto"/>
          <w:szCs w:val="21"/>
          <w:highlight w:val="none"/>
          <w:lang w:val="nb-NO"/>
        </w:rPr>
        <w:t>mm</w:t>
      </w:r>
      <w:r>
        <w:rPr>
          <w:color w:val="auto"/>
          <w:szCs w:val="21"/>
          <w:highlight w:val="none"/>
          <w:vertAlign w:val="superscript"/>
          <w:lang w:val="nb-NO"/>
        </w:rPr>
        <w:t>2</w:t>
      </w:r>
      <w:r>
        <w:rPr>
          <w:rFonts w:hint="eastAsia"/>
          <w:color w:val="auto"/>
          <w:szCs w:val="21"/>
          <w:highlight w:val="none"/>
          <w:lang w:val="nb-NO"/>
        </w:rPr>
        <w:t>）；</w:t>
      </w:r>
    </w:p>
    <w:p w14:paraId="38A0000C">
      <w:pPr>
        <w:kinsoku/>
        <w:overflowPunct/>
        <w:bidi w:val="0"/>
        <w:spacing w:before="156" w:beforeLines="50" w:line="360" w:lineRule="auto"/>
        <w:ind w:firstLine="315" w:firstLineChars="150"/>
        <w:rPr>
          <w:bCs/>
          <w:color w:val="auto"/>
          <w:szCs w:val="21"/>
          <w:highlight w:val="none"/>
          <w:lang w:val="nb-NO"/>
        </w:rPr>
      </w:pPr>
      <w:r>
        <w:rPr>
          <w:bCs/>
          <w:color w:val="auto"/>
          <w:szCs w:val="21"/>
          <w:highlight w:val="none"/>
          <w:lang w:val="nb-NO"/>
        </w:rPr>
        <w:t>2</w:t>
      </w:r>
      <w:r>
        <w:rPr>
          <w:rFonts w:hint="eastAsia"/>
          <w:bCs/>
          <w:color w:val="auto"/>
          <w:szCs w:val="21"/>
          <w:highlight w:val="none"/>
        </w:rPr>
        <w:t xml:space="preserve"> </w:t>
      </w:r>
      <w:r>
        <w:rPr>
          <w:rFonts w:hint="eastAsia"/>
          <w:color w:val="auto"/>
          <w:highlight w:val="none"/>
        </w:rPr>
        <w:t>超高性能</w:t>
      </w:r>
      <w:r>
        <w:rPr>
          <w:rFonts w:hint="eastAsia"/>
          <w:bCs/>
          <w:color w:val="auto"/>
          <w:szCs w:val="21"/>
          <w:highlight w:val="none"/>
        </w:rPr>
        <w:t>混凝土劈裂抗拉</w:t>
      </w:r>
      <w:r>
        <w:rPr>
          <w:bCs/>
          <w:color w:val="auto"/>
          <w:szCs w:val="21"/>
          <w:highlight w:val="none"/>
          <w:lang w:val="nb-NO"/>
        </w:rPr>
        <w:t>强度值的确定应符合下列规定：</w:t>
      </w:r>
    </w:p>
    <w:p w14:paraId="6D2E8EE5">
      <w:pPr>
        <w:pStyle w:val="53"/>
        <w:kinsoku/>
        <w:overflowPunct/>
        <w:bidi w:val="0"/>
        <w:spacing w:line="360" w:lineRule="auto"/>
        <w:ind w:firstLine="525" w:firstLineChars="250"/>
        <w:rPr>
          <w:color w:val="auto"/>
          <w:highlight w:val="none"/>
          <w:lang w:val="nb-NO"/>
        </w:rPr>
      </w:pPr>
      <w:r>
        <w:rPr>
          <w:color w:val="auto"/>
          <w:highlight w:val="none"/>
          <w:lang w:val="nb-NO"/>
        </w:rPr>
        <w:t>1</w:t>
      </w:r>
      <w:r>
        <w:rPr>
          <w:rFonts w:hint="eastAsia"/>
          <w:color w:val="auto"/>
          <w:highlight w:val="none"/>
          <w:lang w:val="nb-NO"/>
        </w:rPr>
        <w:t>）</w:t>
      </w:r>
      <w:r>
        <w:rPr>
          <w:color w:val="auto"/>
          <w:highlight w:val="none"/>
        </w:rPr>
        <w:t>应以</w:t>
      </w:r>
      <w:r>
        <w:rPr>
          <w:color w:val="auto"/>
          <w:highlight w:val="none"/>
          <w:lang w:val="nb-NO"/>
        </w:rPr>
        <w:t>三个试件测值的</w:t>
      </w:r>
      <w:r>
        <w:rPr>
          <w:rFonts w:hint="eastAsia"/>
          <w:color w:val="auto"/>
          <w:highlight w:val="none"/>
        </w:rPr>
        <w:t>算术平均值</w:t>
      </w:r>
      <w:r>
        <w:rPr>
          <w:color w:val="auto"/>
          <w:highlight w:val="none"/>
          <w:lang w:val="nb-NO"/>
        </w:rPr>
        <w:t>作为该组试件的劈裂抗拉强度值，应精确至0.01MPa；</w:t>
      </w:r>
    </w:p>
    <w:p w14:paraId="2E2CCC6C">
      <w:pPr>
        <w:pStyle w:val="53"/>
        <w:kinsoku/>
        <w:overflowPunct/>
        <w:bidi w:val="0"/>
        <w:spacing w:line="360" w:lineRule="auto"/>
        <w:ind w:firstLine="525" w:firstLineChars="250"/>
        <w:rPr>
          <w:color w:val="auto"/>
          <w:highlight w:val="none"/>
          <w:lang w:val="nb-NO"/>
        </w:rPr>
      </w:pPr>
      <w:r>
        <w:rPr>
          <w:color w:val="auto"/>
          <w:highlight w:val="none"/>
          <w:lang w:val="nb-NO"/>
        </w:rPr>
        <w:t>2</w:t>
      </w:r>
      <w:r>
        <w:rPr>
          <w:rFonts w:hint="eastAsia"/>
          <w:color w:val="auto"/>
          <w:highlight w:val="none"/>
          <w:lang w:val="nb-NO"/>
        </w:rPr>
        <w:t>）</w:t>
      </w:r>
      <w:r>
        <w:rPr>
          <w:color w:val="auto"/>
          <w:highlight w:val="none"/>
          <w:lang w:val="nb-NO"/>
        </w:rPr>
        <w:t>三个测值中的最大值或最小值中如有一个与中间值的差值超过中间值的15%时，则应把最大及最小值一并舍除，取中间值作为该组试件的劈裂抗拉强度值；</w:t>
      </w:r>
    </w:p>
    <w:p w14:paraId="07AB0E00">
      <w:pPr>
        <w:pStyle w:val="53"/>
        <w:kinsoku/>
        <w:overflowPunct/>
        <w:bidi w:val="0"/>
        <w:spacing w:line="360" w:lineRule="auto"/>
        <w:ind w:firstLine="525" w:firstLineChars="250"/>
        <w:rPr>
          <w:color w:val="auto"/>
          <w:highlight w:val="none"/>
          <w:lang w:val="nb-NO"/>
        </w:rPr>
      </w:pPr>
      <w:r>
        <w:rPr>
          <w:color w:val="auto"/>
          <w:highlight w:val="none"/>
          <w:lang w:val="nb-NO"/>
        </w:rPr>
        <w:t>3</w:t>
      </w:r>
      <w:r>
        <w:rPr>
          <w:rFonts w:hint="eastAsia"/>
          <w:color w:val="auto"/>
          <w:highlight w:val="none"/>
          <w:lang w:val="nb-NO"/>
        </w:rPr>
        <w:t>）</w:t>
      </w:r>
      <w:r>
        <w:rPr>
          <w:color w:val="auto"/>
          <w:highlight w:val="none"/>
          <w:lang w:val="nb-NO"/>
        </w:rPr>
        <w:t>如最大值和最小值与</w:t>
      </w:r>
      <w:r>
        <w:rPr>
          <w:rFonts w:hint="eastAsia"/>
          <w:color w:val="auto"/>
          <w:highlight w:val="none"/>
        </w:rPr>
        <w:t>中间值</w:t>
      </w:r>
      <w:r>
        <w:rPr>
          <w:color w:val="auto"/>
          <w:highlight w:val="none"/>
          <w:lang w:val="nb-NO"/>
        </w:rPr>
        <w:t>的差均超过中间值的15%，则该组试件的试验结果无效。</w:t>
      </w:r>
    </w:p>
    <w:p w14:paraId="180F436A">
      <w:pPr>
        <w:kinsoku/>
        <w:overflowPunct/>
        <w:bidi w:val="0"/>
        <w:spacing w:before="156" w:beforeLines="50" w:line="360" w:lineRule="auto"/>
        <w:ind w:firstLine="360" w:firstLineChars="150"/>
        <w:rPr>
          <w:strike/>
          <w:color w:val="auto"/>
          <w:sz w:val="24"/>
          <w:highlight w:val="none"/>
          <w:lang w:val="nb-NO"/>
        </w:rPr>
      </w:pPr>
    </w:p>
    <w:p w14:paraId="3C73D381">
      <w:pPr>
        <w:pStyle w:val="65"/>
        <w:kinsoku/>
        <w:overflowPunct/>
        <w:bidi w:val="0"/>
        <w:spacing w:before="156" w:beforeLines="50" w:after="156" w:afterLines="50" w:line="360" w:lineRule="auto"/>
        <w:outlineLvl w:val="1"/>
        <w:rPr>
          <w:color w:val="auto"/>
          <w:highlight w:val="none"/>
        </w:rPr>
      </w:pPr>
      <w:bookmarkStart w:id="44" w:name="_Toc31225"/>
      <w:r>
        <w:rPr>
          <w:rFonts w:hint="eastAsia"/>
          <w:color w:val="auto"/>
          <w:highlight w:val="none"/>
        </w:rPr>
        <w:t>6.8 粘结强度试验</w:t>
      </w:r>
      <w:bookmarkEnd w:id="44"/>
    </w:p>
    <w:p w14:paraId="6AFE06F5">
      <w:pPr>
        <w:pStyle w:val="18"/>
        <w:kinsoku/>
        <w:overflowPunct/>
        <w:bidi w:val="0"/>
        <w:spacing w:before="156" w:after="93" w:line="360" w:lineRule="auto"/>
        <w:ind w:firstLine="0" w:firstLineChars="0"/>
        <w:rPr>
          <w:bCs/>
          <w:color w:val="auto"/>
          <w:highlight w:val="none"/>
        </w:rPr>
      </w:pPr>
      <w:bookmarkStart w:id="45" w:name="_Toc477762545"/>
      <w:r>
        <w:rPr>
          <w:bCs/>
          <w:color w:val="auto"/>
          <w:highlight w:val="none"/>
        </w:rPr>
        <w:t>6.8.1</w:t>
      </w:r>
      <w:r>
        <w:rPr>
          <w:rFonts w:hint="eastAsia"/>
          <w:bCs/>
          <w:color w:val="auto"/>
          <w:highlight w:val="none"/>
        </w:rPr>
        <w:t xml:space="preserve"> 本方法适用于测定超高性能混凝土与既有普通混凝土之间的粘结强度。</w:t>
      </w:r>
      <w:bookmarkEnd w:id="45"/>
    </w:p>
    <w:p w14:paraId="2E5DDAB8">
      <w:pPr>
        <w:pStyle w:val="18"/>
        <w:kinsoku/>
        <w:overflowPunct/>
        <w:bidi w:val="0"/>
        <w:spacing w:before="156" w:after="93" w:line="360" w:lineRule="auto"/>
        <w:ind w:firstLine="0" w:firstLineChars="0"/>
        <w:rPr>
          <w:bCs/>
          <w:color w:val="auto"/>
          <w:highlight w:val="none"/>
        </w:rPr>
      </w:pPr>
      <w:bookmarkStart w:id="46" w:name="_Toc477762546"/>
      <w:r>
        <w:rPr>
          <w:bCs/>
          <w:color w:val="auto"/>
          <w:highlight w:val="none"/>
        </w:rPr>
        <w:t>6.8.2</w:t>
      </w:r>
      <w:r>
        <w:rPr>
          <w:rFonts w:hint="eastAsia"/>
          <w:bCs/>
          <w:color w:val="auto"/>
          <w:highlight w:val="none"/>
        </w:rPr>
        <w:t xml:space="preserve"> 试验仪器设备应符合本标准6.7.2</w:t>
      </w:r>
      <w:r>
        <w:rPr>
          <w:rFonts w:hint="eastAsia"/>
          <w:bCs/>
          <w:color w:val="auto"/>
          <w:highlight w:val="none"/>
          <w:lang w:val="nb-NO"/>
        </w:rPr>
        <w:t>条中的规定。</w:t>
      </w:r>
      <w:bookmarkEnd w:id="46"/>
    </w:p>
    <w:p w14:paraId="619C861B">
      <w:pPr>
        <w:pStyle w:val="18"/>
        <w:kinsoku/>
        <w:overflowPunct/>
        <w:bidi w:val="0"/>
        <w:spacing w:before="156" w:after="93" w:line="360" w:lineRule="auto"/>
        <w:ind w:firstLine="0" w:firstLineChars="0"/>
        <w:rPr>
          <w:bCs/>
          <w:color w:val="auto"/>
          <w:highlight w:val="none"/>
        </w:rPr>
      </w:pPr>
      <w:bookmarkStart w:id="47" w:name="_Toc477762547"/>
      <w:r>
        <w:rPr>
          <w:bCs/>
          <w:color w:val="auto"/>
          <w:highlight w:val="none"/>
        </w:rPr>
        <w:t>6.8.3</w:t>
      </w:r>
      <w:r>
        <w:rPr>
          <w:rFonts w:hint="eastAsia"/>
          <w:bCs/>
          <w:color w:val="auto"/>
          <w:highlight w:val="none"/>
        </w:rPr>
        <w:t xml:space="preserve"> 超高性能混凝土粘结强度试验应按下列步骤进行：</w:t>
      </w:r>
      <w:bookmarkEnd w:id="47"/>
    </w:p>
    <w:p w14:paraId="4CD19BAA">
      <w:pPr>
        <w:kinsoku/>
        <w:overflowPunct/>
        <w:bidi w:val="0"/>
        <w:spacing w:before="156" w:beforeLines="50" w:line="360" w:lineRule="auto"/>
        <w:ind w:firstLine="315" w:firstLineChars="150"/>
        <w:rPr>
          <w:bCs/>
          <w:color w:val="auto"/>
          <w:highlight w:val="none"/>
        </w:rPr>
      </w:pPr>
      <w:bookmarkStart w:id="48" w:name="_Toc477762548"/>
      <w:r>
        <w:rPr>
          <w:bCs/>
          <w:color w:val="auto"/>
          <w:highlight w:val="none"/>
        </w:rPr>
        <w:t>1</w:t>
      </w:r>
      <w:r>
        <w:rPr>
          <w:rFonts w:hint="eastAsia"/>
          <w:bCs/>
          <w:color w:val="auto"/>
          <w:highlight w:val="none"/>
        </w:rPr>
        <w:t xml:space="preserve"> 用与被粘结构物混凝土相近的原材料和配合比，成型3块</w:t>
      </w:r>
      <w:r>
        <w:rPr>
          <w:bCs/>
          <w:color w:val="auto"/>
          <w:highlight w:val="none"/>
        </w:rPr>
        <w:t>150mm</w:t>
      </w:r>
      <w:r>
        <w:rPr>
          <w:rFonts w:ascii="Symbol" w:hAnsi="Symbol" w:cs="Symbol"/>
          <w:bCs/>
          <w:color w:val="auto"/>
          <w:highlight w:val="none"/>
        </w:rPr>
        <w:t></w:t>
      </w:r>
      <w:r>
        <w:rPr>
          <w:bCs/>
          <w:color w:val="auto"/>
          <w:highlight w:val="none"/>
        </w:rPr>
        <w:t>150mm</w:t>
      </w:r>
      <w:r>
        <w:rPr>
          <w:rFonts w:ascii="Symbol" w:hAnsi="Symbol" w:cs="Symbol"/>
          <w:bCs/>
          <w:color w:val="auto"/>
          <w:highlight w:val="none"/>
        </w:rPr>
        <w:t></w:t>
      </w:r>
      <w:r>
        <w:rPr>
          <w:bCs/>
          <w:color w:val="auto"/>
          <w:highlight w:val="none"/>
        </w:rPr>
        <w:t>150mm</w:t>
      </w:r>
      <w:r>
        <w:rPr>
          <w:rFonts w:hint="eastAsia"/>
          <w:bCs/>
          <w:color w:val="auto"/>
          <w:highlight w:val="none"/>
        </w:rPr>
        <w:t>的试件，标准养护</w:t>
      </w:r>
      <w:r>
        <w:rPr>
          <w:bCs/>
          <w:color w:val="auto"/>
          <w:highlight w:val="none"/>
        </w:rPr>
        <w:t>14d</w:t>
      </w:r>
      <w:r>
        <w:rPr>
          <w:rFonts w:hint="eastAsia"/>
          <w:bCs/>
          <w:color w:val="auto"/>
          <w:highlight w:val="none"/>
        </w:rPr>
        <w:t>后取出，参照本标准第6.7条将试件劈成六块待用。</w:t>
      </w:r>
      <w:bookmarkEnd w:id="48"/>
    </w:p>
    <w:p w14:paraId="204DAB24">
      <w:pPr>
        <w:kinsoku/>
        <w:overflowPunct/>
        <w:bidi w:val="0"/>
        <w:spacing w:before="156" w:beforeLines="50" w:line="360" w:lineRule="auto"/>
        <w:ind w:firstLine="315" w:firstLineChars="150"/>
        <w:rPr>
          <w:bCs/>
          <w:color w:val="auto"/>
          <w:highlight w:val="none"/>
        </w:rPr>
      </w:pPr>
      <w:bookmarkStart w:id="49" w:name="_Toc477762549"/>
      <w:r>
        <w:rPr>
          <w:bCs/>
          <w:color w:val="auto"/>
          <w:highlight w:val="none"/>
        </w:rPr>
        <w:t>2</w:t>
      </w:r>
      <w:r>
        <w:rPr>
          <w:rFonts w:hint="eastAsia"/>
          <w:bCs/>
          <w:color w:val="auto"/>
          <w:highlight w:val="none"/>
        </w:rPr>
        <w:t xml:space="preserve"> 应将劈开混凝土试件的劈开面清洗干净并保持湿润状态，垂直放入</w:t>
      </w:r>
      <w:r>
        <w:rPr>
          <w:bCs/>
          <w:color w:val="auto"/>
          <w:highlight w:val="none"/>
        </w:rPr>
        <w:t>150mm</w:t>
      </w:r>
      <w:r>
        <w:rPr>
          <w:rFonts w:hint="eastAsia"/>
          <w:bCs/>
          <w:color w:val="auto"/>
          <w:highlight w:val="none"/>
        </w:rPr>
        <w:t>立方体试模一侧，试件光面紧贴试模壁，劈开面与试模之间形成尺寸约为</w:t>
      </w:r>
      <w:r>
        <w:rPr>
          <w:bCs/>
          <w:color w:val="auto"/>
          <w:highlight w:val="none"/>
        </w:rPr>
        <w:t>150mm</w:t>
      </w:r>
      <w:r>
        <w:rPr>
          <w:rFonts w:ascii="Symbol" w:hAnsi="Symbol" w:cs="Symbol"/>
          <w:bCs/>
          <w:color w:val="auto"/>
          <w:highlight w:val="none"/>
        </w:rPr>
        <w:t></w:t>
      </w:r>
      <w:r>
        <w:rPr>
          <w:bCs/>
          <w:color w:val="auto"/>
          <w:highlight w:val="none"/>
        </w:rPr>
        <w:t>150mm</w:t>
      </w:r>
      <w:r>
        <w:rPr>
          <w:rFonts w:ascii="Symbol" w:hAnsi="Symbol" w:cs="Symbol"/>
          <w:bCs/>
          <w:color w:val="auto"/>
          <w:highlight w:val="none"/>
        </w:rPr>
        <w:t></w:t>
      </w:r>
      <w:r>
        <w:rPr>
          <w:bCs/>
          <w:color w:val="auto"/>
          <w:highlight w:val="none"/>
        </w:rPr>
        <w:t>75mm</w:t>
      </w:r>
      <w:r>
        <w:rPr>
          <w:rFonts w:hint="eastAsia"/>
          <w:bCs/>
          <w:color w:val="auto"/>
          <w:highlight w:val="none"/>
        </w:rPr>
        <w:t>的空间。</w:t>
      </w:r>
      <w:bookmarkEnd w:id="49"/>
    </w:p>
    <w:p w14:paraId="5EAB4A82">
      <w:pPr>
        <w:kinsoku/>
        <w:overflowPunct/>
        <w:bidi w:val="0"/>
        <w:spacing w:before="156" w:beforeLines="50" w:line="360" w:lineRule="auto"/>
        <w:ind w:firstLine="315" w:firstLineChars="150"/>
        <w:rPr>
          <w:rFonts w:hint="default" w:eastAsia="宋体"/>
          <w:bCs/>
          <w:color w:val="auto"/>
          <w:highlight w:val="none"/>
          <w:lang w:val="en-US" w:eastAsia="zh-CN"/>
        </w:rPr>
      </w:pPr>
      <w:bookmarkStart w:id="50" w:name="_Toc477762550"/>
      <w:r>
        <w:rPr>
          <w:bCs/>
          <w:color w:val="auto"/>
          <w:highlight w:val="none"/>
        </w:rPr>
        <w:t>3</w:t>
      </w:r>
      <w:r>
        <w:rPr>
          <w:rFonts w:hint="eastAsia"/>
          <w:bCs/>
          <w:color w:val="auto"/>
          <w:highlight w:val="none"/>
        </w:rPr>
        <w:t xml:space="preserve"> 拌制超高性能混凝土，</w:t>
      </w:r>
      <w:r>
        <w:rPr>
          <w:rFonts w:hint="eastAsia"/>
          <w:color w:val="auto"/>
          <w:kern w:val="0"/>
          <w:szCs w:val="20"/>
          <w:highlight w:val="none"/>
        </w:rPr>
        <w:t>一次性</w:t>
      </w:r>
      <w:r>
        <w:rPr>
          <w:rFonts w:hint="eastAsia"/>
          <w:bCs/>
          <w:color w:val="auto"/>
          <w:highlight w:val="none"/>
        </w:rPr>
        <w:t>浇入已放置混凝土试块的试模中并按本标准第4.</w:t>
      </w:r>
      <w:r>
        <w:rPr>
          <w:rFonts w:hint="eastAsia"/>
          <w:bCs/>
          <w:color w:val="auto"/>
          <w:highlight w:val="none"/>
          <w:lang w:eastAsia="zh"/>
          <w:woUserID w:val="3"/>
        </w:rPr>
        <w:t>2</w:t>
      </w:r>
      <w:r>
        <w:rPr>
          <w:rFonts w:hint="eastAsia"/>
          <w:bCs/>
          <w:color w:val="auto"/>
          <w:highlight w:val="none"/>
        </w:rPr>
        <w:t>条规定，成型密实。</w:t>
      </w:r>
      <w:bookmarkEnd w:id="50"/>
      <w:r>
        <w:rPr>
          <w:rFonts w:hint="eastAsia"/>
          <w:bCs/>
          <w:color w:val="auto"/>
          <w:highlight w:val="none"/>
          <w:lang w:val="en-US" w:eastAsia="zh-CN"/>
        </w:rPr>
        <w:t>超高性能混凝土扩展度小于650mm时，宜用振动台振实。</w:t>
      </w:r>
    </w:p>
    <w:p w14:paraId="6C565389">
      <w:pPr>
        <w:kinsoku/>
        <w:overflowPunct/>
        <w:bidi w:val="0"/>
        <w:spacing w:before="156" w:beforeLines="50" w:line="360" w:lineRule="auto"/>
        <w:ind w:firstLine="315" w:firstLineChars="150"/>
        <w:rPr>
          <w:bCs/>
          <w:color w:val="auto"/>
          <w:highlight w:val="none"/>
        </w:rPr>
      </w:pPr>
      <w:bookmarkStart w:id="51" w:name="_Toc477762552"/>
      <w:r>
        <w:rPr>
          <w:bCs/>
          <w:color w:val="auto"/>
          <w:highlight w:val="none"/>
        </w:rPr>
        <w:t>4</w:t>
      </w:r>
      <w:r>
        <w:rPr>
          <w:rFonts w:hint="eastAsia"/>
          <w:bCs/>
          <w:color w:val="auto"/>
          <w:highlight w:val="none"/>
        </w:rPr>
        <w:t xml:space="preserve"> 试件达到养护龄期时，从养护地点取出后，按本标准第6.7条将粘结面作为劈裂面，进行粘结强度测试。</w:t>
      </w:r>
      <w:bookmarkEnd w:id="51"/>
    </w:p>
    <w:p w14:paraId="46CFA7B4">
      <w:pPr>
        <w:pStyle w:val="18"/>
        <w:kinsoku/>
        <w:overflowPunct/>
        <w:bidi w:val="0"/>
        <w:spacing w:before="156" w:after="93" w:line="360" w:lineRule="auto"/>
        <w:ind w:firstLine="0" w:firstLineChars="0"/>
        <w:rPr>
          <w:bCs/>
          <w:color w:val="auto"/>
          <w:highlight w:val="none"/>
        </w:rPr>
      </w:pPr>
      <w:bookmarkStart w:id="52" w:name="_Toc477762553"/>
      <w:r>
        <w:rPr>
          <w:bCs/>
          <w:color w:val="auto"/>
          <w:highlight w:val="none"/>
        </w:rPr>
        <w:t>6.8.4</w:t>
      </w:r>
      <w:r>
        <w:rPr>
          <w:rFonts w:hint="eastAsia"/>
          <w:bCs/>
          <w:color w:val="auto"/>
          <w:highlight w:val="none"/>
        </w:rPr>
        <w:t xml:space="preserve"> 超高性能混凝土粘结强度试验结果计算及确定应按下列方法进行</w:t>
      </w:r>
      <w:bookmarkEnd w:id="52"/>
    </w:p>
    <w:p w14:paraId="276184D3">
      <w:pPr>
        <w:kinsoku/>
        <w:overflowPunct/>
        <w:bidi w:val="0"/>
        <w:spacing w:before="156" w:beforeLines="50" w:line="360" w:lineRule="auto"/>
        <w:ind w:firstLine="315" w:firstLineChars="150"/>
        <w:rPr>
          <w:bCs/>
          <w:color w:val="auto"/>
          <w:highlight w:val="none"/>
        </w:rPr>
      </w:pPr>
      <w:bookmarkStart w:id="53" w:name="_Toc477762554"/>
      <w:r>
        <w:rPr>
          <w:bCs/>
          <w:color w:val="auto"/>
          <w:highlight w:val="none"/>
        </w:rPr>
        <w:t>1</w:t>
      </w:r>
      <w:r>
        <w:rPr>
          <w:rFonts w:hint="eastAsia"/>
          <w:bCs/>
          <w:color w:val="auto"/>
          <w:highlight w:val="none"/>
        </w:rPr>
        <w:t xml:space="preserve"> 超高性能</w:t>
      </w:r>
      <w:r>
        <w:rPr>
          <w:rFonts w:hint="eastAsia"/>
          <w:bCs/>
          <w:color w:val="auto"/>
          <w:szCs w:val="21"/>
          <w:highlight w:val="none"/>
        </w:rPr>
        <w:t>混凝土</w:t>
      </w:r>
      <w:r>
        <w:rPr>
          <w:rFonts w:hint="eastAsia"/>
          <w:bCs/>
          <w:color w:val="auto"/>
          <w:highlight w:val="none"/>
        </w:rPr>
        <w:t>粘结强度应按下式计算：</w:t>
      </w:r>
      <w:bookmarkEnd w:id="53"/>
    </w:p>
    <w:p w14:paraId="633163B9">
      <w:pPr>
        <w:pStyle w:val="18"/>
        <w:kinsoku/>
        <w:overflowPunct/>
        <w:bidi w:val="0"/>
        <w:spacing w:before="156" w:after="93" w:line="360" w:lineRule="auto"/>
        <w:ind w:firstLine="420"/>
        <w:jc w:val="right"/>
        <w:rPr>
          <w:rFonts w:hint="eastAsia" w:ascii="宋体" w:hAnsi="宋体" w:cs="宋体"/>
          <w:bCs/>
          <w:color w:val="auto"/>
          <w:highlight w:val="none"/>
        </w:rPr>
      </w:pPr>
      <w:bookmarkStart w:id="54" w:name="_Toc477762555"/>
      <w:r>
        <w:rPr>
          <w:rFonts w:hint="eastAsia"/>
          <w:bCs/>
          <w:color w:val="auto"/>
          <w:position w:val="-24"/>
          <w:highlight w:val="none"/>
          <w:lang w:val="nb-NO"/>
        </w:rPr>
        <w:object>
          <v:shape id="_x0000_i1069" o:spt="75" type="#_x0000_t75" style="height:29.95pt;width:93pt;" o:ole="t" filled="f" o:preferrelative="t" stroked="f" coordsize="21600,21600">
            <v:path/>
            <v:fill on="f" focussize="0,0"/>
            <v:stroke on="f" joinstyle="miter"/>
            <v:imagedata r:id="rId121" o:title=""/>
            <o:lock v:ext="edit" aspectratio="t"/>
            <w10:wrap type="none"/>
            <w10:anchorlock/>
          </v:shape>
          <o:OLEObject Type="Embed" ProgID="Equation.DSMT4" ShapeID="_x0000_i1069" DrawAspect="Content" ObjectID="_1468075769" r:id="rId120">
            <o:LockedField>false</o:LockedField>
          </o:OLEObject>
        </w:object>
      </w:r>
      <w:r>
        <w:rPr>
          <w:rFonts w:hint="eastAsia"/>
          <w:bCs/>
          <w:color w:val="auto"/>
          <w:highlight w:val="none"/>
          <w:lang w:val="nb-NO"/>
        </w:rPr>
        <w:t xml:space="preserve">                            （6.8</w:t>
      </w:r>
      <w:r>
        <w:rPr>
          <w:bCs/>
          <w:color w:val="auto"/>
          <w:highlight w:val="none"/>
          <w:lang w:val="nb-NO"/>
        </w:rPr>
        <w:t>.4</w:t>
      </w:r>
      <w:r>
        <w:rPr>
          <w:rFonts w:hint="eastAsia"/>
          <w:bCs/>
          <w:color w:val="auto"/>
          <w:highlight w:val="none"/>
          <w:lang w:val="nb-NO"/>
        </w:rPr>
        <w:t>）</w:t>
      </w:r>
      <w:bookmarkEnd w:id="54"/>
    </w:p>
    <w:p w14:paraId="78CB9E93">
      <w:pPr>
        <w:pStyle w:val="18"/>
        <w:kinsoku/>
        <w:overflowPunct/>
        <w:bidi w:val="0"/>
        <w:spacing w:before="156" w:after="93" w:line="360" w:lineRule="auto"/>
        <w:ind w:firstLine="0" w:firstLineChars="0"/>
        <w:rPr>
          <w:bCs/>
          <w:color w:val="auto"/>
          <w:highlight w:val="none"/>
        </w:rPr>
      </w:pPr>
      <w:bookmarkStart w:id="55" w:name="_Toc477762556"/>
      <w:r>
        <w:rPr>
          <w:rFonts w:hint="eastAsia"/>
          <w:bCs/>
          <w:color w:val="auto"/>
          <w:highlight w:val="none"/>
        </w:rPr>
        <w:t>式中：</w:t>
      </w:r>
      <w:r>
        <w:rPr>
          <w:bCs/>
          <w:i/>
          <w:color w:val="auto"/>
          <w:highlight w:val="none"/>
        </w:rPr>
        <w:t>f</w:t>
      </w:r>
      <w:r>
        <w:rPr>
          <w:bCs/>
          <w:color w:val="auto"/>
          <w:highlight w:val="none"/>
          <w:vertAlign w:val="subscript"/>
        </w:rPr>
        <w:t>b</w:t>
      </w:r>
      <w:r>
        <w:rPr>
          <w:bCs/>
          <w:i/>
          <w:color w:val="auto"/>
          <w:highlight w:val="none"/>
          <w:vertAlign w:val="subscript"/>
        </w:rPr>
        <w:t xml:space="preserve"> </w:t>
      </w:r>
      <w:r>
        <w:rPr>
          <w:rFonts w:ascii="Symbol" w:hAnsi="Symbol" w:cs="Symbol"/>
          <w:bCs/>
          <w:color w:val="auto"/>
          <w:highlight w:val="none"/>
        </w:rPr>
        <w:t></w:t>
      </w:r>
      <w:r>
        <w:rPr>
          <w:rFonts w:hint="eastAsia"/>
          <w:bCs/>
          <w:color w:val="auto"/>
          <w:highlight w:val="none"/>
        </w:rPr>
        <w:t>粘结强度（</w:t>
      </w:r>
      <w:r>
        <w:rPr>
          <w:bCs/>
          <w:color w:val="auto"/>
          <w:highlight w:val="none"/>
        </w:rPr>
        <w:t>MPa</w:t>
      </w:r>
      <w:r>
        <w:rPr>
          <w:rFonts w:hint="eastAsia"/>
          <w:bCs/>
          <w:color w:val="auto"/>
          <w:highlight w:val="none"/>
        </w:rPr>
        <w:t>），计算结果应精确至0.01MPa；</w:t>
      </w:r>
      <w:bookmarkEnd w:id="55"/>
    </w:p>
    <w:p w14:paraId="368F5C99">
      <w:pPr>
        <w:pStyle w:val="18"/>
        <w:kinsoku/>
        <w:overflowPunct/>
        <w:bidi w:val="0"/>
        <w:spacing w:before="156" w:after="93" w:line="360" w:lineRule="auto"/>
        <w:ind w:firstLine="619" w:firstLineChars="295"/>
        <w:rPr>
          <w:bCs/>
          <w:color w:val="auto"/>
          <w:highlight w:val="none"/>
        </w:rPr>
      </w:pPr>
      <w:bookmarkStart w:id="56" w:name="_Toc477762557"/>
      <w:r>
        <w:rPr>
          <w:bCs/>
          <w:i/>
          <w:color w:val="auto"/>
          <w:highlight w:val="none"/>
        </w:rPr>
        <w:t xml:space="preserve">P </w:t>
      </w:r>
      <w:r>
        <w:rPr>
          <w:rFonts w:ascii="Symbol" w:hAnsi="Symbol" w:cs="Symbol"/>
          <w:bCs/>
          <w:color w:val="auto"/>
          <w:highlight w:val="none"/>
        </w:rPr>
        <w:t></w:t>
      </w:r>
      <w:r>
        <w:rPr>
          <w:rFonts w:hint="eastAsia"/>
          <w:bCs/>
          <w:color w:val="auto"/>
          <w:highlight w:val="none"/>
        </w:rPr>
        <w:t>破坏荷载（</w:t>
      </w:r>
      <w:r>
        <w:rPr>
          <w:bCs/>
          <w:color w:val="auto"/>
          <w:highlight w:val="none"/>
        </w:rPr>
        <w:t>N</w:t>
      </w:r>
      <w:r>
        <w:rPr>
          <w:rFonts w:hint="eastAsia"/>
          <w:bCs/>
          <w:color w:val="auto"/>
          <w:highlight w:val="none"/>
        </w:rPr>
        <w:t>）；</w:t>
      </w:r>
      <w:bookmarkEnd w:id="56"/>
    </w:p>
    <w:p w14:paraId="34E02257">
      <w:pPr>
        <w:pStyle w:val="18"/>
        <w:kinsoku/>
        <w:overflowPunct/>
        <w:bidi w:val="0"/>
        <w:spacing w:before="156" w:after="93" w:line="360" w:lineRule="auto"/>
        <w:ind w:firstLine="619" w:firstLineChars="295"/>
        <w:rPr>
          <w:bCs/>
          <w:color w:val="auto"/>
          <w:highlight w:val="none"/>
        </w:rPr>
      </w:pPr>
      <w:bookmarkStart w:id="57" w:name="_Toc477762558"/>
      <w:r>
        <w:rPr>
          <w:bCs/>
          <w:i/>
          <w:color w:val="auto"/>
          <w:highlight w:val="none"/>
        </w:rPr>
        <w:t xml:space="preserve">A </w:t>
      </w:r>
      <w:r>
        <w:rPr>
          <w:rFonts w:ascii="Symbol" w:hAnsi="Symbol" w:cs="Symbol"/>
          <w:bCs/>
          <w:color w:val="auto"/>
          <w:highlight w:val="none"/>
        </w:rPr>
        <w:t></w:t>
      </w:r>
      <w:r>
        <w:rPr>
          <w:rFonts w:hint="eastAsia"/>
          <w:bCs/>
          <w:color w:val="auto"/>
          <w:highlight w:val="none"/>
        </w:rPr>
        <w:t>试件粘结面面积（</w:t>
      </w:r>
      <w:r>
        <w:rPr>
          <w:bCs/>
          <w:color w:val="auto"/>
          <w:highlight w:val="none"/>
        </w:rPr>
        <w:t>mm</w:t>
      </w:r>
      <w:r>
        <w:rPr>
          <w:bCs/>
          <w:color w:val="auto"/>
          <w:highlight w:val="none"/>
          <w:vertAlign w:val="superscript"/>
        </w:rPr>
        <w:t>2</w:t>
      </w:r>
      <w:r>
        <w:rPr>
          <w:rFonts w:hint="eastAsia"/>
          <w:bCs/>
          <w:color w:val="auto"/>
          <w:highlight w:val="none"/>
        </w:rPr>
        <w:t>）</w:t>
      </w:r>
      <w:bookmarkEnd w:id="57"/>
      <w:r>
        <w:rPr>
          <w:rFonts w:hint="eastAsia"/>
          <w:bCs/>
          <w:color w:val="auto"/>
          <w:highlight w:val="none"/>
        </w:rPr>
        <w:t>；</w:t>
      </w:r>
    </w:p>
    <w:p w14:paraId="3AE8295C">
      <w:pPr>
        <w:kinsoku/>
        <w:overflowPunct/>
        <w:bidi w:val="0"/>
        <w:spacing w:before="156" w:beforeLines="50" w:line="360" w:lineRule="auto"/>
        <w:ind w:firstLine="315" w:firstLineChars="150"/>
        <w:rPr>
          <w:color w:val="auto"/>
          <w:highlight w:val="none"/>
        </w:rPr>
      </w:pPr>
      <w:bookmarkStart w:id="58" w:name="_Toc477762559"/>
      <w:r>
        <w:rPr>
          <w:bCs/>
          <w:color w:val="auto"/>
          <w:highlight w:val="none"/>
        </w:rPr>
        <w:t xml:space="preserve">2 </w:t>
      </w:r>
      <w:r>
        <w:rPr>
          <w:rFonts w:hint="eastAsia"/>
          <w:bCs/>
          <w:color w:val="auto"/>
          <w:highlight w:val="none"/>
        </w:rPr>
        <w:t>在6块试</w:t>
      </w:r>
      <w:r>
        <w:rPr>
          <w:rFonts w:hint="eastAsia"/>
          <w:color w:val="auto"/>
          <w:highlight w:val="none"/>
        </w:rPr>
        <w:t>件测值中，应剔除最大值和最小值，以其余4个测值的平均值，作为该组试件的粘结强度值，应精确至0.01MPa。</w:t>
      </w:r>
      <w:bookmarkEnd w:id="58"/>
    </w:p>
    <w:p w14:paraId="593BCE8B">
      <w:pPr>
        <w:kinsoku/>
        <w:overflowPunct/>
        <w:bidi w:val="0"/>
        <w:spacing w:before="156" w:beforeLines="50" w:line="360" w:lineRule="auto"/>
        <w:ind w:firstLine="315" w:firstLineChars="150"/>
        <w:rPr>
          <w:i/>
          <w:iCs/>
          <w:color w:val="auto"/>
          <w:highlight w:val="none"/>
        </w:rPr>
      </w:pPr>
    </w:p>
    <w:p w14:paraId="23784B29">
      <w:pPr>
        <w:pStyle w:val="65"/>
        <w:kinsoku/>
        <w:overflowPunct/>
        <w:bidi w:val="0"/>
        <w:spacing w:before="156" w:beforeLines="50" w:after="156" w:afterLines="50" w:line="360" w:lineRule="auto"/>
        <w:outlineLvl w:val="1"/>
        <w:rPr>
          <w:color w:val="auto"/>
          <w:highlight w:val="none"/>
        </w:rPr>
      </w:pPr>
      <w:bookmarkStart w:id="59" w:name="_Toc14417"/>
      <w:r>
        <w:rPr>
          <w:rFonts w:hint="eastAsia"/>
          <w:color w:val="auto"/>
          <w:highlight w:val="none"/>
        </w:rPr>
        <w:t>6.9 超高性能混凝土与钢筋的握裹强度试验</w:t>
      </w:r>
      <w:bookmarkEnd w:id="59"/>
    </w:p>
    <w:p w14:paraId="32F80B50">
      <w:pPr>
        <w:pStyle w:val="18"/>
        <w:kinsoku/>
        <w:overflowPunct/>
        <w:bidi w:val="0"/>
        <w:spacing w:before="156" w:after="93" w:line="360" w:lineRule="auto"/>
        <w:ind w:firstLine="0" w:firstLineChars="0"/>
        <w:rPr>
          <w:bCs/>
          <w:color w:val="auto"/>
          <w:highlight w:val="none"/>
        </w:rPr>
      </w:pPr>
      <w:bookmarkStart w:id="60" w:name="_Toc477762502"/>
      <w:r>
        <w:rPr>
          <w:bCs/>
          <w:color w:val="auto"/>
          <w:highlight w:val="none"/>
        </w:rPr>
        <w:t>6.9.</w:t>
      </w:r>
      <w:r>
        <w:rPr>
          <w:rFonts w:hint="eastAsia"/>
          <w:bCs/>
          <w:color w:val="auto"/>
          <w:highlight w:val="none"/>
        </w:rPr>
        <w:t>1试验仪器设备应符合下列规定：</w:t>
      </w:r>
      <w:bookmarkEnd w:id="60"/>
    </w:p>
    <w:p w14:paraId="70D6D539">
      <w:pPr>
        <w:kinsoku/>
        <w:overflowPunct/>
        <w:bidi w:val="0"/>
        <w:spacing w:before="156" w:beforeLines="50" w:line="360" w:lineRule="auto"/>
        <w:ind w:firstLine="315" w:firstLineChars="150"/>
        <w:rPr>
          <w:bCs/>
          <w:color w:val="auto"/>
          <w:highlight w:val="none"/>
        </w:rPr>
      </w:pPr>
      <w:bookmarkStart w:id="61" w:name="_Toc477762503"/>
      <w:r>
        <w:rPr>
          <w:bCs/>
          <w:color w:val="auto"/>
          <w:highlight w:val="none"/>
        </w:rPr>
        <w:t>1 试模</w:t>
      </w:r>
      <w:r>
        <w:rPr>
          <w:rFonts w:hint="eastAsia"/>
          <w:bCs/>
          <w:color w:val="auto"/>
          <w:highlight w:val="none"/>
        </w:rPr>
        <w:t>的</w:t>
      </w:r>
      <w:r>
        <w:rPr>
          <w:bCs/>
          <w:color w:val="auto"/>
          <w:szCs w:val="21"/>
          <w:highlight w:val="none"/>
        </w:rPr>
        <w:t>规格</w:t>
      </w:r>
      <w:r>
        <w:rPr>
          <w:rFonts w:hint="eastAsia"/>
          <w:bCs/>
          <w:color w:val="auto"/>
          <w:highlight w:val="none"/>
        </w:rPr>
        <w:t>应</w:t>
      </w:r>
      <w:r>
        <w:rPr>
          <w:bCs/>
          <w:color w:val="auto"/>
          <w:highlight w:val="none"/>
        </w:rPr>
        <w:t>为150mm</w:t>
      </w:r>
      <w:r>
        <w:rPr>
          <w:rFonts w:hint="eastAsia" w:ascii="宋体" w:hAnsi="宋体"/>
          <w:bCs/>
          <w:color w:val="auto"/>
          <w:highlight w:val="none"/>
        </w:rPr>
        <w:t>×</w:t>
      </w:r>
      <w:r>
        <w:rPr>
          <w:bCs/>
          <w:color w:val="auto"/>
          <w:highlight w:val="none"/>
        </w:rPr>
        <w:t>150mm</w:t>
      </w:r>
      <w:r>
        <w:rPr>
          <w:rFonts w:hint="eastAsia" w:ascii="宋体" w:hAnsi="宋体"/>
          <w:bCs/>
          <w:color w:val="auto"/>
          <w:highlight w:val="none"/>
        </w:rPr>
        <w:t>×</w:t>
      </w:r>
      <w:r>
        <w:rPr>
          <w:bCs/>
          <w:color w:val="auto"/>
          <w:highlight w:val="none"/>
        </w:rPr>
        <w:t>150mm，试模应能埋设一水平钢筋，水平钢筋轴线距离模底</w:t>
      </w:r>
      <w:r>
        <w:rPr>
          <w:rFonts w:hint="eastAsia"/>
          <w:bCs/>
          <w:color w:val="auto"/>
          <w:highlight w:val="none"/>
        </w:rPr>
        <w:t>应为</w:t>
      </w:r>
      <w:r>
        <w:rPr>
          <w:bCs/>
          <w:color w:val="auto"/>
          <w:highlight w:val="none"/>
        </w:rPr>
        <w:t>75mm。埋入的一端</w:t>
      </w:r>
      <w:r>
        <w:rPr>
          <w:rFonts w:hint="eastAsia"/>
          <w:bCs/>
          <w:color w:val="auto"/>
          <w:highlight w:val="none"/>
        </w:rPr>
        <w:t>应</w:t>
      </w:r>
      <w:r>
        <w:rPr>
          <w:bCs/>
          <w:color w:val="auto"/>
          <w:highlight w:val="none"/>
        </w:rPr>
        <w:t>恰好嵌入模壁，予以固定，另一端由模壁伸出，作为加力之用</w:t>
      </w:r>
      <w:r>
        <w:rPr>
          <w:rFonts w:hint="eastAsia"/>
          <w:bCs/>
          <w:color w:val="auto"/>
          <w:highlight w:val="none"/>
        </w:rPr>
        <w:t>（图6.9.1-1）</w:t>
      </w:r>
      <w:r>
        <w:rPr>
          <w:bCs/>
          <w:color w:val="auto"/>
          <w:highlight w:val="none"/>
        </w:rPr>
        <w:t>。</w:t>
      </w:r>
      <w:bookmarkEnd w:id="61"/>
    </w:p>
    <w:p w14:paraId="7CBEF1C0">
      <w:pPr>
        <w:kinsoku/>
        <w:overflowPunct/>
        <w:bidi w:val="0"/>
        <w:spacing w:line="360" w:lineRule="auto"/>
        <w:jc w:val="center"/>
        <w:rPr>
          <w:b/>
          <w:color w:val="auto"/>
          <w:szCs w:val="21"/>
          <w:highlight w:val="none"/>
        </w:rPr>
      </w:pPr>
      <w:r>
        <w:rPr>
          <w:color w:val="auto"/>
          <w:highlight w:val="none"/>
        </w:rPr>
        <w:drawing>
          <wp:inline distT="0" distB="0" distL="114300" distR="114300">
            <wp:extent cx="3200400" cy="2589530"/>
            <wp:effectExtent l="0" t="0" r="0" b="1270"/>
            <wp:docPr id="8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2"/>
                    <pic:cNvPicPr>
                      <a:picLocks noChangeAspect="1"/>
                    </pic:cNvPicPr>
                  </pic:nvPicPr>
                  <pic:blipFill>
                    <a:blip r:embed="rId122" cstate="print"/>
                    <a:stretch>
                      <a:fillRect/>
                    </a:stretch>
                  </pic:blipFill>
                  <pic:spPr>
                    <a:xfrm>
                      <a:off x="0" y="0"/>
                      <a:ext cx="3197225" cy="2587476"/>
                    </a:xfrm>
                    <a:prstGeom prst="rect">
                      <a:avLst/>
                    </a:prstGeom>
                    <a:noFill/>
                    <a:ln w="9525">
                      <a:noFill/>
                    </a:ln>
                  </pic:spPr>
                </pic:pic>
              </a:graphicData>
            </a:graphic>
          </wp:inline>
        </w:drawing>
      </w:r>
    </w:p>
    <w:p w14:paraId="444D514E">
      <w:pPr>
        <w:kinsoku/>
        <w:overflowPunct/>
        <w:bidi w:val="0"/>
        <w:spacing w:line="360" w:lineRule="auto"/>
        <w:jc w:val="center"/>
        <w:rPr>
          <w:color w:val="auto"/>
          <w:highlight w:val="none"/>
        </w:rPr>
      </w:pPr>
      <w:bookmarkStart w:id="62" w:name="_Toc477762506"/>
      <w:r>
        <w:rPr>
          <w:color w:val="auto"/>
          <w:highlight w:val="none"/>
        </w:rPr>
        <w:t>图6.9.</w:t>
      </w:r>
      <w:r>
        <w:rPr>
          <w:rFonts w:hint="eastAsia"/>
          <w:color w:val="auto"/>
          <w:highlight w:val="none"/>
        </w:rPr>
        <w:t>1</w:t>
      </w:r>
      <w:r>
        <w:rPr>
          <w:color w:val="auto"/>
          <w:highlight w:val="none"/>
        </w:rPr>
        <w:t>-1  握裹强度试模装置</w:t>
      </w:r>
      <w:bookmarkEnd w:id="62"/>
      <w:r>
        <w:rPr>
          <w:rFonts w:hint="eastAsia"/>
          <w:color w:val="auto"/>
          <w:highlight w:val="none"/>
        </w:rPr>
        <w:t>（mm）</w:t>
      </w:r>
    </w:p>
    <w:p w14:paraId="6534EF3B">
      <w:pPr>
        <w:kinsoku/>
        <w:overflowPunct/>
        <w:bidi w:val="0"/>
        <w:spacing w:before="156" w:beforeLines="50" w:line="360" w:lineRule="auto"/>
        <w:jc w:val="center"/>
        <w:rPr>
          <w:color w:val="auto"/>
          <w:sz w:val="18"/>
          <w:szCs w:val="18"/>
          <w:highlight w:val="none"/>
        </w:rPr>
      </w:pPr>
      <w:r>
        <w:rPr>
          <w:color w:val="auto"/>
          <w:sz w:val="18"/>
          <w:szCs w:val="18"/>
          <w:highlight w:val="none"/>
        </w:rPr>
        <w:t>1-模板；2-固定圈；3-用橡皮圈堵塞</w:t>
      </w:r>
    </w:p>
    <w:p w14:paraId="0951FFCD">
      <w:pPr>
        <w:kinsoku/>
        <w:overflowPunct/>
        <w:bidi w:val="0"/>
        <w:spacing w:before="156" w:beforeLines="50" w:line="360" w:lineRule="auto"/>
        <w:ind w:firstLine="315" w:firstLineChars="150"/>
        <w:rPr>
          <w:bCs/>
          <w:color w:val="auto"/>
          <w:highlight w:val="none"/>
        </w:rPr>
      </w:pPr>
      <w:bookmarkStart w:id="63" w:name="_Toc477762507"/>
      <w:r>
        <w:rPr>
          <w:bCs/>
          <w:color w:val="auto"/>
          <w:highlight w:val="none"/>
        </w:rPr>
        <w:t>2</w:t>
      </w:r>
      <w:r>
        <w:rPr>
          <w:rFonts w:hint="eastAsia"/>
          <w:bCs/>
          <w:color w:val="auto"/>
          <w:highlight w:val="none"/>
        </w:rPr>
        <w:t xml:space="preserve"> 握裹强度试验装置</w:t>
      </w:r>
      <w:r>
        <w:rPr>
          <w:bCs/>
          <w:color w:val="auto"/>
          <w:highlight w:val="none"/>
        </w:rPr>
        <w:t>如图</w:t>
      </w:r>
      <w:r>
        <w:rPr>
          <w:rFonts w:hint="eastAsia"/>
          <w:bCs/>
          <w:color w:val="auto"/>
          <w:highlight w:val="none"/>
        </w:rPr>
        <w:t>6.9.1</w:t>
      </w:r>
      <w:r>
        <w:rPr>
          <w:bCs/>
          <w:color w:val="auto"/>
          <w:highlight w:val="none"/>
        </w:rPr>
        <w:t>-2所示</w:t>
      </w:r>
      <w:r>
        <w:rPr>
          <w:rFonts w:hint="eastAsia"/>
          <w:bCs/>
          <w:color w:val="auto"/>
          <w:highlight w:val="none"/>
        </w:rPr>
        <w:t>。</w:t>
      </w:r>
      <w:r>
        <w:rPr>
          <w:bCs/>
          <w:color w:val="auto"/>
          <w:highlight w:val="none"/>
        </w:rPr>
        <w:t>试件夹具系两块面积为250mm</w:t>
      </w:r>
      <w:r>
        <w:rPr>
          <w:rFonts w:hint="eastAsia"/>
          <w:bCs/>
          <w:color w:val="auto"/>
          <w:highlight w:val="none"/>
        </w:rPr>
        <w:sym w:font="Symbol" w:char="F0B4"/>
      </w:r>
      <w:r>
        <w:rPr>
          <w:rFonts w:hint="eastAsia"/>
          <w:bCs/>
          <w:color w:val="auto"/>
          <w:highlight w:val="none"/>
        </w:rPr>
        <w:t>1</w:t>
      </w:r>
      <w:r>
        <w:rPr>
          <w:bCs/>
          <w:color w:val="auto"/>
          <w:highlight w:val="none"/>
        </w:rPr>
        <w:t>50mm、厚度为30mm的钢板</w:t>
      </w:r>
      <w:r>
        <w:rPr>
          <w:rFonts w:hint="eastAsia"/>
          <w:bCs/>
          <w:color w:val="auto"/>
          <w:highlight w:val="none"/>
        </w:rPr>
        <w:t>，钢板材质应为</w:t>
      </w:r>
      <w:r>
        <w:rPr>
          <w:bCs/>
          <w:color w:val="auto"/>
          <w:highlight w:val="none"/>
        </w:rPr>
        <w:t>45号钢。</w:t>
      </w:r>
      <w:r>
        <w:rPr>
          <w:rFonts w:hint="eastAsia"/>
          <w:bCs/>
          <w:color w:val="auto"/>
          <w:highlight w:val="none"/>
        </w:rPr>
        <w:t>应</w:t>
      </w:r>
      <w:r>
        <w:rPr>
          <w:bCs/>
          <w:color w:val="auto"/>
          <w:highlight w:val="none"/>
        </w:rPr>
        <w:t>用</w:t>
      </w:r>
      <w:r>
        <w:rPr>
          <w:rFonts w:hint="eastAsia"/>
          <w:bCs/>
          <w:color w:val="auto"/>
          <w:highlight w:val="none"/>
        </w:rPr>
        <w:t>4</w:t>
      </w:r>
      <w:r>
        <w:rPr>
          <w:bCs/>
          <w:color w:val="auto"/>
          <w:highlight w:val="none"/>
        </w:rPr>
        <w:t>根直径18mm的HRB400钢筋穿入。上端钢板附有直径为25mm的拉杆，拉杆下端套入钢板并成球面相接，上端供万能机夹持。另</w:t>
      </w:r>
      <w:r>
        <w:rPr>
          <w:rFonts w:hint="eastAsia"/>
          <w:bCs/>
          <w:color w:val="auto"/>
          <w:highlight w:val="none"/>
        </w:rPr>
        <w:t>应有</w:t>
      </w:r>
      <w:r>
        <w:rPr>
          <w:bCs/>
          <w:color w:val="auto"/>
          <w:highlight w:val="none"/>
        </w:rPr>
        <w:t>150mm</w:t>
      </w:r>
      <w:r>
        <w:rPr>
          <w:rFonts w:hint="eastAsia"/>
          <w:bCs/>
          <w:color w:val="auto"/>
          <w:highlight w:val="none"/>
        </w:rPr>
        <w:sym w:font="Symbol" w:char="F0B4"/>
      </w:r>
      <w:r>
        <w:rPr>
          <w:bCs/>
          <w:color w:val="auto"/>
          <w:highlight w:val="none"/>
        </w:rPr>
        <w:t>150mm</w:t>
      </w:r>
      <w:r>
        <w:rPr>
          <w:rFonts w:hint="eastAsia"/>
          <w:bCs/>
          <w:color w:val="auto"/>
          <w:highlight w:val="none"/>
        </w:rPr>
        <w:sym w:font="Symbol" w:char="F0B4"/>
      </w:r>
      <w:r>
        <w:rPr>
          <w:bCs/>
          <w:color w:val="auto"/>
          <w:highlight w:val="none"/>
        </w:rPr>
        <w:t>10mm钢垫板一块</w:t>
      </w:r>
      <w:r>
        <w:rPr>
          <w:rFonts w:hint="eastAsia"/>
          <w:bCs/>
          <w:color w:val="auto"/>
          <w:highlight w:val="none"/>
        </w:rPr>
        <w:t>，</w:t>
      </w:r>
      <w:r>
        <w:rPr>
          <w:bCs/>
          <w:color w:val="auto"/>
          <w:highlight w:val="none"/>
        </w:rPr>
        <w:t>中心开有直径40mm的圆孔，垫于试件与夹头下端钢板之间。</w:t>
      </w:r>
      <w:bookmarkEnd w:id="63"/>
    </w:p>
    <w:p w14:paraId="29CF01FD">
      <w:pPr>
        <w:kinsoku/>
        <w:overflowPunct/>
        <w:bidi w:val="0"/>
        <w:spacing w:before="156" w:beforeLines="50" w:line="360" w:lineRule="auto"/>
        <w:ind w:firstLine="315" w:firstLineChars="150"/>
        <w:rPr>
          <w:bCs/>
          <w:color w:val="auto"/>
          <w:highlight w:val="none"/>
        </w:rPr>
      </w:pPr>
      <w:bookmarkStart w:id="64" w:name="_Toc477762508"/>
      <w:r>
        <w:rPr>
          <w:bCs/>
          <w:color w:val="auto"/>
          <w:highlight w:val="none"/>
        </w:rPr>
        <w:t xml:space="preserve">3 </w:t>
      </w:r>
      <w:bookmarkEnd w:id="64"/>
      <w:r>
        <w:rPr>
          <w:rFonts w:hint="eastAsia"/>
          <w:bCs/>
          <w:color w:val="auto"/>
          <w:highlight w:val="none"/>
        </w:rPr>
        <w:t>位移</w:t>
      </w:r>
      <w:r>
        <w:rPr>
          <w:bCs/>
          <w:color w:val="auto"/>
          <w:highlight w:val="none"/>
          <w:lang w:val="nb-NO"/>
        </w:rPr>
        <w:t>测量仪器，可用千分表或LVDT位移计，</w:t>
      </w:r>
      <w:r>
        <w:rPr>
          <w:rFonts w:hint="eastAsia"/>
          <w:bCs/>
          <w:color w:val="auto"/>
          <w:highlight w:val="none"/>
          <w:lang w:val="nb-NO"/>
        </w:rPr>
        <w:t>精度应为±</w:t>
      </w:r>
      <w:r>
        <w:rPr>
          <w:bCs/>
          <w:color w:val="auto"/>
          <w:highlight w:val="none"/>
          <w:lang w:val="nb-NO"/>
        </w:rPr>
        <w:t>0.00</w:t>
      </w:r>
      <w:r>
        <w:rPr>
          <w:rFonts w:hint="eastAsia"/>
          <w:bCs/>
          <w:color w:val="auto"/>
          <w:highlight w:val="none"/>
          <w:lang w:val="nb-NO"/>
        </w:rPr>
        <w:t>1</w:t>
      </w:r>
      <w:r>
        <w:rPr>
          <w:bCs/>
          <w:color w:val="auto"/>
          <w:highlight w:val="none"/>
          <w:lang w:val="nb-NO"/>
        </w:rPr>
        <w:t>mm</w:t>
      </w:r>
      <w:r>
        <w:rPr>
          <w:rFonts w:hint="eastAsia"/>
          <w:bCs/>
          <w:color w:val="auto"/>
          <w:highlight w:val="none"/>
          <w:lang w:val="nb-NO"/>
        </w:rPr>
        <w:t>；</w:t>
      </w:r>
    </w:p>
    <w:p w14:paraId="025475CC">
      <w:pPr>
        <w:kinsoku/>
        <w:overflowPunct/>
        <w:bidi w:val="0"/>
        <w:spacing w:before="156" w:beforeLines="50" w:line="360" w:lineRule="auto"/>
        <w:ind w:firstLine="315" w:firstLineChars="150"/>
        <w:rPr>
          <w:bCs/>
          <w:color w:val="auto"/>
          <w:highlight w:val="none"/>
        </w:rPr>
      </w:pPr>
      <w:bookmarkStart w:id="65" w:name="_Toc477762509"/>
      <w:r>
        <w:rPr>
          <w:bCs/>
          <w:color w:val="auto"/>
          <w:highlight w:val="none"/>
        </w:rPr>
        <w:t xml:space="preserve">4 </w:t>
      </w:r>
      <w:r>
        <w:rPr>
          <w:rFonts w:hint="eastAsia"/>
          <w:bCs/>
          <w:color w:val="auto"/>
          <w:highlight w:val="none"/>
        </w:rPr>
        <w:t>仪表</w:t>
      </w:r>
      <w:r>
        <w:rPr>
          <w:bCs/>
          <w:color w:val="auto"/>
          <w:highlight w:val="none"/>
        </w:rPr>
        <w:t>固定架</w:t>
      </w:r>
      <w:r>
        <w:rPr>
          <w:rFonts w:hint="eastAsia"/>
          <w:bCs/>
          <w:color w:val="auto"/>
          <w:highlight w:val="none"/>
        </w:rPr>
        <w:t>应由</w:t>
      </w:r>
      <w:r>
        <w:rPr>
          <w:bCs/>
          <w:color w:val="auto"/>
          <w:highlight w:val="none"/>
        </w:rPr>
        <w:t>金属制成，横跨试件表面，并可用止动螺丝固定在试件上。上部中央有孔，可夹持千分表，使之直立，量杆朝下。</w:t>
      </w:r>
      <w:bookmarkEnd w:id="65"/>
    </w:p>
    <w:p w14:paraId="68282194">
      <w:pPr>
        <w:kinsoku/>
        <w:overflowPunct/>
        <w:bidi w:val="0"/>
        <w:spacing w:before="156" w:beforeLines="50" w:line="360" w:lineRule="auto"/>
        <w:ind w:firstLine="315" w:firstLineChars="150"/>
        <w:rPr>
          <w:color w:val="auto"/>
          <w:szCs w:val="22"/>
          <w:highlight w:val="none"/>
        </w:rPr>
      </w:pPr>
      <w:r>
        <w:rPr>
          <w:bCs/>
          <w:color w:val="auto"/>
          <w:szCs w:val="22"/>
          <w:highlight w:val="none"/>
        </w:rPr>
        <w:t>5</w:t>
      </w:r>
      <w:r>
        <w:rPr>
          <w:rFonts w:hint="eastAsia"/>
          <w:bCs/>
          <w:color w:val="auto"/>
          <w:szCs w:val="22"/>
          <w:highlight w:val="none"/>
        </w:rPr>
        <w:t xml:space="preserve"> </w:t>
      </w:r>
      <w:r>
        <w:rPr>
          <w:rFonts w:hint="eastAsia"/>
          <w:bCs/>
          <w:color w:val="auto"/>
          <w:szCs w:val="21"/>
          <w:highlight w:val="none"/>
        </w:rPr>
        <w:t>拉力试验</w:t>
      </w:r>
      <w:r>
        <w:rPr>
          <w:rFonts w:hint="eastAsia"/>
          <w:bCs/>
          <w:color w:val="auto"/>
          <w:szCs w:val="22"/>
          <w:highlight w:val="none"/>
        </w:rPr>
        <w:t>机应符合下列规定：</w:t>
      </w:r>
    </w:p>
    <w:p w14:paraId="669D2B44">
      <w:pPr>
        <w:pStyle w:val="53"/>
        <w:kinsoku/>
        <w:overflowPunct/>
        <w:bidi w:val="0"/>
        <w:spacing w:line="360" w:lineRule="auto"/>
        <w:ind w:firstLine="525" w:firstLineChars="250"/>
        <w:rPr>
          <w:color w:val="auto"/>
          <w:highlight w:val="none"/>
          <w:lang w:val="nb-NO"/>
        </w:rPr>
      </w:pPr>
      <w:r>
        <w:rPr>
          <w:color w:val="auto"/>
          <w:highlight w:val="none"/>
          <w:lang w:val="nb-NO"/>
        </w:rPr>
        <w:t>1）试件</w:t>
      </w:r>
      <w:r>
        <w:rPr>
          <w:rFonts w:hint="eastAsia"/>
          <w:color w:val="auto"/>
          <w:highlight w:val="none"/>
        </w:rPr>
        <w:t>破坏荷载</w:t>
      </w:r>
      <w:r>
        <w:rPr>
          <w:color w:val="auto"/>
          <w:highlight w:val="none"/>
          <w:lang w:val="nb-NO"/>
        </w:rPr>
        <w:t>宜大于拉力试验机全量程的20%且宜小于拉力试验机全量程的80%；</w:t>
      </w:r>
    </w:p>
    <w:p w14:paraId="3691BD40">
      <w:pPr>
        <w:pStyle w:val="53"/>
        <w:kinsoku/>
        <w:overflowPunct/>
        <w:bidi w:val="0"/>
        <w:spacing w:line="360" w:lineRule="auto"/>
        <w:ind w:firstLine="525" w:firstLineChars="250"/>
        <w:rPr>
          <w:color w:val="auto"/>
          <w:highlight w:val="none"/>
          <w:lang w:val="nb-NO"/>
        </w:rPr>
      </w:pPr>
      <w:r>
        <w:rPr>
          <w:color w:val="auto"/>
          <w:highlight w:val="none"/>
        </w:rPr>
        <w:t>2）示值相对误差应为±1%</w:t>
      </w:r>
      <w:r>
        <w:rPr>
          <w:color w:val="auto"/>
          <w:highlight w:val="none"/>
          <w:lang w:val="nb-NO"/>
        </w:rPr>
        <w:t>；</w:t>
      </w:r>
    </w:p>
    <w:p w14:paraId="10160929">
      <w:pPr>
        <w:pStyle w:val="53"/>
        <w:kinsoku/>
        <w:overflowPunct/>
        <w:bidi w:val="0"/>
        <w:spacing w:line="360" w:lineRule="auto"/>
        <w:ind w:firstLine="525" w:firstLineChars="250"/>
        <w:rPr>
          <w:color w:val="auto"/>
          <w:highlight w:val="none"/>
        </w:rPr>
      </w:pPr>
      <w:r>
        <w:rPr>
          <w:color w:val="auto"/>
          <w:highlight w:val="none"/>
        </w:rPr>
        <w:t>3）应具有加荷速度指示装置或加荷速度控制装置，并应能均匀、连续地加荷；</w:t>
      </w:r>
    </w:p>
    <w:p w14:paraId="587188A4">
      <w:pPr>
        <w:pStyle w:val="53"/>
        <w:kinsoku/>
        <w:overflowPunct/>
        <w:bidi w:val="0"/>
        <w:spacing w:line="360" w:lineRule="auto"/>
        <w:ind w:firstLine="525" w:firstLineChars="250"/>
        <w:rPr>
          <w:color w:val="auto"/>
          <w:highlight w:val="none"/>
        </w:rPr>
      </w:pPr>
      <w:r>
        <w:rPr>
          <w:color w:val="auto"/>
          <w:highlight w:val="none"/>
        </w:rPr>
        <w:t>4）其他要求应</w:t>
      </w:r>
      <w:r>
        <w:rPr>
          <w:rFonts w:hint="eastAsia"/>
          <w:color w:val="auto"/>
          <w:highlight w:val="none"/>
          <w:lang w:val="nb-NO"/>
        </w:rPr>
        <w:t>符合</w:t>
      </w:r>
      <w:r>
        <w:rPr>
          <w:color w:val="auto"/>
          <w:highlight w:val="none"/>
        </w:rPr>
        <w:t>现行国家标准《液压式万能试验机》GB/T</w:t>
      </w:r>
      <w:r>
        <w:rPr>
          <w:rFonts w:hint="eastAsia"/>
          <w:color w:val="auto"/>
          <w:highlight w:val="none"/>
        </w:rPr>
        <w:t xml:space="preserve"> </w:t>
      </w:r>
      <w:r>
        <w:rPr>
          <w:color w:val="auto"/>
          <w:highlight w:val="none"/>
        </w:rPr>
        <w:t>3159和《试验机通用技术要求》GB/T</w:t>
      </w:r>
      <w:r>
        <w:rPr>
          <w:rFonts w:hint="eastAsia"/>
          <w:color w:val="auto"/>
          <w:highlight w:val="none"/>
        </w:rPr>
        <w:t xml:space="preserve"> </w:t>
      </w:r>
      <w:r>
        <w:rPr>
          <w:color w:val="auto"/>
          <w:highlight w:val="none"/>
        </w:rPr>
        <w:t>2611中的有关规定。</w:t>
      </w:r>
    </w:p>
    <w:p w14:paraId="4340BB15">
      <w:pPr>
        <w:kinsoku/>
        <w:overflowPunct/>
        <w:bidi w:val="0"/>
        <w:spacing w:line="360" w:lineRule="auto"/>
        <w:jc w:val="center"/>
        <w:rPr>
          <w:color w:val="auto"/>
          <w:szCs w:val="21"/>
          <w:highlight w:val="none"/>
        </w:rPr>
      </w:pPr>
      <w:r>
        <w:rPr>
          <w:color w:val="auto"/>
          <w:highlight w:val="none"/>
        </w:rPr>
        <w:drawing>
          <wp:inline distT="0" distB="0" distL="114300" distR="114300">
            <wp:extent cx="1811020" cy="3756660"/>
            <wp:effectExtent l="0" t="0" r="5080" b="2540"/>
            <wp:docPr id="8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3"/>
                    <pic:cNvPicPr>
                      <a:picLocks noChangeAspect="1"/>
                    </pic:cNvPicPr>
                  </pic:nvPicPr>
                  <pic:blipFill>
                    <a:blip r:embed="rId123" cstate="print"/>
                    <a:stretch>
                      <a:fillRect/>
                    </a:stretch>
                  </pic:blipFill>
                  <pic:spPr>
                    <a:xfrm>
                      <a:off x="0" y="0"/>
                      <a:ext cx="1812284" cy="3758620"/>
                    </a:xfrm>
                    <a:prstGeom prst="rect">
                      <a:avLst/>
                    </a:prstGeom>
                    <a:noFill/>
                    <a:ln w="9525">
                      <a:noFill/>
                    </a:ln>
                  </pic:spPr>
                </pic:pic>
              </a:graphicData>
            </a:graphic>
          </wp:inline>
        </w:drawing>
      </w:r>
    </w:p>
    <w:p w14:paraId="2555EF72">
      <w:pPr>
        <w:kinsoku/>
        <w:overflowPunct/>
        <w:bidi w:val="0"/>
        <w:spacing w:line="360" w:lineRule="auto"/>
        <w:jc w:val="center"/>
        <w:rPr>
          <w:color w:val="auto"/>
          <w:highlight w:val="none"/>
        </w:rPr>
      </w:pPr>
      <w:bookmarkStart w:id="66" w:name="_Toc477762514"/>
      <w:r>
        <w:rPr>
          <w:rFonts w:hint="eastAsia"/>
          <w:color w:val="auto"/>
          <w:highlight w:val="none"/>
        </w:rPr>
        <w:t>图6.9.1</w:t>
      </w:r>
      <w:r>
        <w:rPr>
          <w:color w:val="auto"/>
          <w:highlight w:val="none"/>
        </w:rPr>
        <w:t>-2</w:t>
      </w:r>
      <w:r>
        <w:rPr>
          <w:rFonts w:hint="eastAsia"/>
          <w:color w:val="auto"/>
          <w:highlight w:val="none"/>
        </w:rPr>
        <w:t xml:space="preserve"> 握裹强度试验装置示意图</w:t>
      </w:r>
      <w:bookmarkEnd w:id="66"/>
    </w:p>
    <w:p w14:paraId="6CCFA195">
      <w:pPr>
        <w:kinsoku/>
        <w:overflowPunct/>
        <w:bidi w:val="0"/>
        <w:spacing w:line="360" w:lineRule="auto"/>
        <w:jc w:val="center"/>
        <w:rPr>
          <w:color w:val="auto"/>
          <w:sz w:val="18"/>
          <w:szCs w:val="18"/>
          <w:highlight w:val="none"/>
        </w:rPr>
      </w:pPr>
      <w:r>
        <w:rPr>
          <w:rFonts w:hint="eastAsia"/>
          <w:color w:val="auto"/>
          <w:sz w:val="18"/>
          <w:szCs w:val="18"/>
          <w:highlight w:val="none"/>
        </w:rPr>
        <w:t>1-带球座拉杆；2-上端钢板；3-千分表或</w:t>
      </w:r>
      <w:r>
        <w:rPr>
          <w:color w:val="auto"/>
          <w:sz w:val="18"/>
          <w:szCs w:val="18"/>
          <w:highlight w:val="none"/>
        </w:rPr>
        <w:t>LVDT</w:t>
      </w:r>
      <w:r>
        <w:rPr>
          <w:rFonts w:hint="eastAsia"/>
          <w:color w:val="auto"/>
          <w:sz w:val="18"/>
          <w:szCs w:val="18"/>
          <w:highlight w:val="none"/>
        </w:rPr>
        <w:t>位移计；4-仪表固定架；5-止动螺丝；6-钢杆；</w:t>
      </w:r>
    </w:p>
    <w:p w14:paraId="7476C1AB">
      <w:pPr>
        <w:kinsoku/>
        <w:overflowPunct/>
        <w:bidi w:val="0"/>
        <w:spacing w:line="360" w:lineRule="auto"/>
        <w:jc w:val="center"/>
        <w:rPr>
          <w:color w:val="auto"/>
          <w:sz w:val="18"/>
          <w:szCs w:val="18"/>
          <w:highlight w:val="none"/>
        </w:rPr>
      </w:pPr>
      <w:r>
        <w:rPr>
          <w:rFonts w:hint="eastAsia"/>
          <w:color w:val="auto"/>
          <w:sz w:val="18"/>
          <w:szCs w:val="18"/>
          <w:highlight w:val="none"/>
        </w:rPr>
        <w:t>7-试件；8-垫板；9-下端钢板；10-埋入试件的钢筋</w:t>
      </w:r>
    </w:p>
    <w:p w14:paraId="0AF0B6BC">
      <w:pPr>
        <w:kinsoku/>
        <w:overflowPunct/>
        <w:bidi w:val="0"/>
        <w:spacing w:before="156" w:beforeLines="50" w:line="360" w:lineRule="auto"/>
        <w:rPr>
          <w:bCs/>
          <w:color w:val="auto"/>
          <w:highlight w:val="none"/>
        </w:rPr>
      </w:pPr>
      <w:bookmarkStart w:id="67" w:name="_Toc477762515"/>
      <w:r>
        <w:rPr>
          <w:bCs/>
          <w:color w:val="auto"/>
          <w:highlight w:val="none"/>
        </w:rPr>
        <w:t>6.9.</w:t>
      </w:r>
      <w:r>
        <w:rPr>
          <w:bCs/>
          <w:color w:val="auto"/>
          <w:szCs w:val="21"/>
          <w:highlight w:val="none"/>
        </w:rPr>
        <w:t xml:space="preserve">2 </w:t>
      </w:r>
      <w:r>
        <w:rPr>
          <w:rStyle w:val="118"/>
          <w:rFonts w:hint="eastAsia"/>
          <w:b w:val="0"/>
          <w:bCs/>
          <w:color w:val="auto"/>
          <w:szCs w:val="21"/>
          <w:highlight w:val="none"/>
        </w:rPr>
        <w:t>混凝土与钢筋的握裹强度</w:t>
      </w:r>
      <w:r>
        <w:rPr>
          <w:rFonts w:hint="eastAsia" w:ascii="宋体" w:hAnsi="宋体" w:cs="宋体"/>
          <w:bCs/>
          <w:color w:val="auto"/>
          <w:highlight w:val="none"/>
        </w:rPr>
        <w:t>试验应按下列步骤进行：</w:t>
      </w:r>
      <w:bookmarkEnd w:id="67"/>
    </w:p>
    <w:p w14:paraId="4F9EF647">
      <w:pPr>
        <w:kinsoku/>
        <w:overflowPunct/>
        <w:bidi w:val="0"/>
        <w:spacing w:before="156" w:beforeLines="50" w:line="360" w:lineRule="auto"/>
        <w:ind w:firstLine="330" w:firstLineChars="150"/>
        <w:rPr>
          <w:bCs/>
          <w:color w:val="auto"/>
          <w:highlight w:val="none"/>
        </w:rPr>
      </w:pPr>
      <w:bookmarkStart w:id="68" w:name="_Toc477762516"/>
      <w:r>
        <w:rPr>
          <w:rStyle w:val="118"/>
          <w:b w:val="0"/>
          <w:bCs/>
          <w:color w:val="auto"/>
          <w:szCs w:val="21"/>
          <w:highlight w:val="none"/>
        </w:rPr>
        <w:t xml:space="preserve">1 </w:t>
      </w:r>
      <w:r>
        <w:rPr>
          <w:bCs/>
          <w:color w:val="auto"/>
          <w:highlight w:val="none"/>
        </w:rPr>
        <w:t>试验用带肋钢筋HRB400，性能应符合GB1499.2的规定，其公称直径为20mm。</w:t>
      </w:r>
      <w:r>
        <w:rPr>
          <w:rFonts w:hint="eastAsia"/>
          <w:bCs/>
          <w:color w:val="auto"/>
          <w:highlight w:val="none"/>
        </w:rPr>
        <w:t>钢筋应</w:t>
      </w:r>
      <w:r>
        <w:rPr>
          <w:bCs/>
          <w:color w:val="auto"/>
          <w:highlight w:val="none"/>
        </w:rPr>
        <w:t>具有足够的长度供万能机夹持和装置量表，长度</w:t>
      </w:r>
      <w:r>
        <w:rPr>
          <w:rFonts w:hint="eastAsia"/>
          <w:bCs/>
          <w:color w:val="auto"/>
          <w:highlight w:val="none"/>
        </w:rPr>
        <w:t>宜</w:t>
      </w:r>
      <w:r>
        <w:rPr>
          <w:bCs/>
          <w:color w:val="auto"/>
          <w:highlight w:val="none"/>
        </w:rPr>
        <w:t>取500mm，试验中采用的钢筋尺寸和形状均应相同。成型前钢筋应用钢丝刷刷净，并用丙酮或乙醇擦试，不得有锈屑和油污存在。钢筋的自由端顶面应光滑平整，并与试模预留孔吻合</w:t>
      </w:r>
      <w:r>
        <w:rPr>
          <w:rFonts w:hint="eastAsia"/>
          <w:bCs/>
          <w:color w:val="auto"/>
          <w:highlight w:val="none"/>
        </w:rPr>
        <w:t>。</w:t>
      </w:r>
      <w:r>
        <w:rPr>
          <w:bCs/>
          <w:color w:val="auto"/>
          <w:highlight w:val="none"/>
        </w:rPr>
        <w:t>也可用符合GB 1499.1的公称直径为20mm的HPB300热轧光圆钢筋或工程中实际使用的其它钢筋，要求和处理方法同带肋</w:t>
      </w:r>
      <w:r>
        <w:rPr>
          <w:rFonts w:hint="eastAsia"/>
          <w:bCs/>
          <w:color w:val="auto"/>
          <w:highlight w:val="none"/>
        </w:rPr>
        <w:t>钢</w:t>
      </w:r>
      <w:r>
        <w:rPr>
          <w:bCs/>
          <w:color w:val="auto"/>
          <w:highlight w:val="none"/>
        </w:rPr>
        <w:t>筋。</w:t>
      </w:r>
      <w:bookmarkEnd w:id="68"/>
    </w:p>
    <w:p w14:paraId="205AF389">
      <w:pPr>
        <w:kinsoku/>
        <w:overflowPunct/>
        <w:bidi w:val="0"/>
        <w:spacing w:before="156" w:beforeLines="50" w:line="360" w:lineRule="auto"/>
        <w:ind w:firstLine="330" w:firstLineChars="150"/>
        <w:rPr>
          <w:bCs/>
          <w:color w:val="auto"/>
          <w:highlight w:val="none"/>
        </w:rPr>
      </w:pPr>
      <w:bookmarkStart w:id="69" w:name="_Toc477762517"/>
      <w:r>
        <w:rPr>
          <w:rStyle w:val="118"/>
          <w:b w:val="0"/>
          <w:bCs/>
          <w:color w:val="auto"/>
          <w:szCs w:val="21"/>
          <w:highlight w:val="none"/>
        </w:rPr>
        <w:t>2</w:t>
      </w:r>
      <w:r>
        <w:rPr>
          <w:rStyle w:val="118"/>
          <w:rFonts w:hint="eastAsia"/>
          <w:b w:val="0"/>
          <w:bCs/>
          <w:color w:val="auto"/>
          <w:szCs w:val="21"/>
          <w:highlight w:val="none"/>
        </w:rPr>
        <w:t xml:space="preserve"> </w:t>
      </w:r>
      <w:r>
        <w:rPr>
          <w:rFonts w:hint="eastAsia"/>
          <w:bCs/>
          <w:color w:val="auto"/>
          <w:highlight w:val="none"/>
        </w:rPr>
        <w:t>应</w:t>
      </w:r>
      <w:r>
        <w:rPr>
          <w:bCs/>
          <w:color w:val="auto"/>
          <w:highlight w:val="none"/>
        </w:rPr>
        <w:t>按</w:t>
      </w:r>
      <w:r>
        <w:rPr>
          <w:rFonts w:hint="eastAsia"/>
          <w:bCs/>
          <w:color w:val="auto"/>
          <w:highlight w:val="none"/>
        </w:rPr>
        <w:t>本标准</w:t>
      </w:r>
      <w:r>
        <w:rPr>
          <w:bCs/>
          <w:color w:val="auto"/>
          <w:highlight w:val="none"/>
        </w:rPr>
        <w:t>4.</w:t>
      </w:r>
      <w:r>
        <w:rPr>
          <w:rFonts w:hint="eastAsia"/>
          <w:bCs/>
          <w:color w:val="auto"/>
          <w:highlight w:val="none"/>
          <w:lang w:eastAsia="zh"/>
          <w:woUserID w:val="3"/>
        </w:rPr>
        <w:t>2</w:t>
      </w:r>
      <w:r>
        <w:rPr>
          <w:rFonts w:hint="eastAsia"/>
          <w:bCs/>
          <w:color w:val="auto"/>
          <w:highlight w:val="none"/>
        </w:rPr>
        <w:t>节</w:t>
      </w:r>
      <w:r>
        <w:rPr>
          <w:bCs/>
          <w:color w:val="auto"/>
          <w:highlight w:val="none"/>
        </w:rPr>
        <w:t>的有关规定制作试件</w:t>
      </w:r>
      <w:r>
        <w:rPr>
          <w:rFonts w:hint="eastAsia"/>
          <w:bCs/>
          <w:color w:val="auto"/>
          <w:highlight w:val="none"/>
        </w:rPr>
        <w:t>，且应</w:t>
      </w:r>
      <w:r>
        <w:rPr>
          <w:bCs/>
          <w:color w:val="auto"/>
          <w:highlight w:val="none"/>
        </w:rPr>
        <w:t>以六个试件为一组。</w:t>
      </w:r>
      <w:r>
        <w:rPr>
          <w:bCs/>
          <w:color w:val="auto"/>
          <w:szCs w:val="21"/>
          <w:highlight w:val="none"/>
        </w:rPr>
        <w:t>安装</w:t>
      </w:r>
      <w:r>
        <w:rPr>
          <w:bCs/>
          <w:color w:val="auto"/>
          <w:highlight w:val="none"/>
        </w:rPr>
        <w:t>钢筋时，钢筋自由端嵌入模壁，穿钢筋的模壁孔应用橡皮圈和固定圈填塞固定钢筋，并不得漏浆、漏水。钢筋与试模应成直角，允许公差0.5°。</w:t>
      </w:r>
      <w:bookmarkEnd w:id="69"/>
    </w:p>
    <w:p w14:paraId="5C3D9E44">
      <w:pPr>
        <w:kinsoku/>
        <w:overflowPunct/>
        <w:bidi w:val="0"/>
        <w:spacing w:before="156" w:beforeLines="50" w:line="360" w:lineRule="auto"/>
        <w:ind w:firstLine="330" w:firstLineChars="150"/>
        <w:rPr>
          <w:bCs/>
          <w:color w:val="auto"/>
          <w:highlight w:val="none"/>
        </w:rPr>
      </w:pPr>
      <w:bookmarkStart w:id="70" w:name="_Toc477762518"/>
      <w:r>
        <w:rPr>
          <w:rStyle w:val="118"/>
          <w:b w:val="0"/>
          <w:bCs/>
          <w:color w:val="auto"/>
          <w:szCs w:val="21"/>
          <w:highlight w:val="none"/>
        </w:rPr>
        <w:t xml:space="preserve">3 </w:t>
      </w:r>
      <w:r>
        <w:rPr>
          <w:bCs/>
          <w:color w:val="auto"/>
          <w:highlight w:val="none"/>
        </w:rPr>
        <w:t>试件成型后直至试验龄期，特别在拆模时，不得碰动钢筋，拆模时间以</w:t>
      </w:r>
      <w:r>
        <w:rPr>
          <w:rFonts w:hint="eastAsia"/>
          <w:bCs/>
          <w:color w:val="auto"/>
          <w:highlight w:val="none"/>
        </w:rPr>
        <w:t>2d</w:t>
      </w:r>
      <w:r>
        <w:rPr>
          <w:bCs/>
          <w:color w:val="auto"/>
          <w:highlight w:val="none"/>
        </w:rPr>
        <w:t>为宜。拆模时应先取下橡皮固定圈，再将套在钢筋上的试模小心取下。</w:t>
      </w:r>
      <w:bookmarkEnd w:id="70"/>
    </w:p>
    <w:p w14:paraId="42ED8C31">
      <w:pPr>
        <w:kinsoku/>
        <w:overflowPunct/>
        <w:bidi w:val="0"/>
        <w:spacing w:before="156" w:beforeLines="50" w:line="360" w:lineRule="auto"/>
        <w:ind w:firstLine="330" w:firstLineChars="150"/>
        <w:rPr>
          <w:bCs/>
          <w:color w:val="auto"/>
          <w:highlight w:val="none"/>
        </w:rPr>
      </w:pPr>
      <w:bookmarkStart w:id="71" w:name="_Toc477762519"/>
      <w:r>
        <w:rPr>
          <w:rStyle w:val="118"/>
          <w:b w:val="0"/>
          <w:bCs/>
          <w:color w:val="auto"/>
          <w:szCs w:val="21"/>
          <w:highlight w:val="none"/>
        </w:rPr>
        <w:t xml:space="preserve">4 </w:t>
      </w:r>
      <w:r>
        <w:rPr>
          <w:bCs/>
          <w:color w:val="auto"/>
          <w:highlight w:val="none"/>
        </w:rPr>
        <w:t>到试验龄期时，</w:t>
      </w:r>
      <w:r>
        <w:rPr>
          <w:rFonts w:hint="eastAsia"/>
          <w:bCs/>
          <w:color w:val="auto"/>
          <w:highlight w:val="none"/>
        </w:rPr>
        <w:t>应</w:t>
      </w:r>
      <w:r>
        <w:rPr>
          <w:bCs/>
          <w:color w:val="auto"/>
          <w:highlight w:val="none"/>
        </w:rPr>
        <w:t>将试件从养护室取出，擦拭干净，检查外观</w:t>
      </w:r>
      <w:r>
        <w:rPr>
          <w:rFonts w:hint="eastAsia"/>
          <w:bCs/>
          <w:color w:val="auto"/>
          <w:highlight w:val="none"/>
        </w:rPr>
        <w:t>，用卡尺测量钢筋埋</w:t>
      </w:r>
      <w:r>
        <w:rPr>
          <w:rFonts w:hint="eastAsia"/>
          <w:bCs/>
          <w:color w:val="auto"/>
          <w:highlight w:val="none"/>
          <w:lang w:eastAsia="zh"/>
          <w:woUserID w:val="3"/>
        </w:rPr>
        <w:t>入</w:t>
      </w:r>
      <w:r>
        <w:rPr>
          <w:rFonts w:hint="eastAsia"/>
          <w:bCs/>
          <w:color w:val="auto"/>
          <w:highlight w:val="none"/>
        </w:rPr>
        <w:t>混凝土中的长度（精确到</w:t>
      </w:r>
      <w:r>
        <w:rPr>
          <w:bCs/>
          <w:color w:val="auto"/>
          <w:highlight w:val="none"/>
        </w:rPr>
        <w:t>0.1mm</w:t>
      </w:r>
      <w:r>
        <w:rPr>
          <w:rFonts w:hint="eastAsia"/>
          <w:bCs/>
          <w:color w:val="auto"/>
          <w:highlight w:val="none"/>
        </w:rPr>
        <w:t>），据此计算埋入超高性能混凝土中的钢筋表面积</w:t>
      </w:r>
      <w:r>
        <w:rPr>
          <w:rFonts w:hint="eastAsia"/>
          <w:bCs/>
          <w:color w:val="auto"/>
          <w:highlight w:val="none"/>
          <w:lang w:eastAsia="zh"/>
          <w:woUserID w:val="3"/>
        </w:rPr>
        <w:t>（</w:t>
      </w:r>
      <w:r>
        <w:rPr>
          <w:bCs/>
          <w:color w:val="auto"/>
          <w:highlight w:val="none"/>
        </w:rPr>
        <w:t>A</w:t>
      </w:r>
      <w:r>
        <w:rPr>
          <w:rFonts w:hint="eastAsia"/>
          <w:bCs/>
          <w:color w:val="auto"/>
          <w:highlight w:val="none"/>
          <w:lang w:eastAsia="zh"/>
          <w:woUserID w:val="3"/>
        </w:rPr>
        <w:t>）</w:t>
      </w:r>
      <w:r>
        <w:rPr>
          <w:rFonts w:hint="eastAsia"/>
          <w:bCs/>
          <w:color w:val="auto"/>
          <w:highlight w:val="none"/>
        </w:rPr>
        <w:t>。</w:t>
      </w:r>
      <w:r>
        <w:rPr>
          <w:bCs/>
          <w:color w:val="auto"/>
          <w:highlight w:val="none"/>
        </w:rPr>
        <w:t>试件不得有明显缺损或钢筋松动、歪斜，并应</w:t>
      </w:r>
      <w:r>
        <w:rPr>
          <w:bCs/>
          <w:color w:val="auto"/>
          <w:szCs w:val="21"/>
          <w:highlight w:val="none"/>
        </w:rPr>
        <w:t>尽快</w:t>
      </w:r>
      <w:r>
        <w:rPr>
          <w:bCs/>
          <w:color w:val="auto"/>
          <w:highlight w:val="none"/>
        </w:rPr>
        <w:t>试验。</w:t>
      </w:r>
      <w:bookmarkEnd w:id="71"/>
    </w:p>
    <w:p w14:paraId="2E280673">
      <w:pPr>
        <w:kinsoku/>
        <w:overflowPunct/>
        <w:bidi w:val="0"/>
        <w:spacing w:before="156" w:beforeLines="50" w:line="360" w:lineRule="auto"/>
        <w:ind w:firstLine="330" w:firstLineChars="150"/>
        <w:rPr>
          <w:bCs/>
          <w:color w:val="auto"/>
          <w:highlight w:val="none"/>
        </w:rPr>
      </w:pPr>
      <w:bookmarkStart w:id="72" w:name="_Toc477762520"/>
      <w:r>
        <w:rPr>
          <w:rStyle w:val="118"/>
          <w:b w:val="0"/>
          <w:bCs/>
          <w:color w:val="auto"/>
          <w:szCs w:val="21"/>
          <w:highlight w:val="none"/>
        </w:rPr>
        <w:t>5</w:t>
      </w:r>
      <w:r>
        <w:rPr>
          <w:rStyle w:val="118"/>
          <w:rFonts w:hint="eastAsia"/>
          <w:b w:val="0"/>
          <w:bCs/>
          <w:color w:val="auto"/>
          <w:szCs w:val="21"/>
          <w:highlight w:val="none"/>
        </w:rPr>
        <w:t xml:space="preserve"> </w:t>
      </w:r>
      <w:r>
        <w:rPr>
          <w:bCs/>
          <w:color w:val="auto"/>
          <w:highlight w:val="none"/>
        </w:rPr>
        <w:t>将试件套上中心有孔的垫板，然后装入已安装在</w:t>
      </w:r>
      <w:r>
        <w:rPr>
          <w:rFonts w:hint="eastAsia"/>
          <w:bCs/>
          <w:color w:val="auto"/>
          <w:highlight w:val="none"/>
        </w:rPr>
        <w:t>拉力试验</w:t>
      </w:r>
      <w:r>
        <w:rPr>
          <w:bCs/>
          <w:color w:val="auto"/>
          <w:highlight w:val="none"/>
        </w:rPr>
        <w:t>机上的试验夹具中，使</w:t>
      </w:r>
      <w:r>
        <w:rPr>
          <w:rFonts w:hint="eastAsia"/>
          <w:bCs/>
          <w:color w:val="auto"/>
          <w:highlight w:val="none"/>
        </w:rPr>
        <w:t>拉力试验</w:t>
      </w:r>
      <w:r>
        <w:rPr>
          <w:bCs/>
          <w:color w:val="auto"/>
          <w:highlight w:val="none"/>
        </w:rPr>
        <w:t>机的下夹头将试件的钢筋夹牢。</w:t>
      </w:r>
      <w:bookmarkEnd w:id="72"/>
    </w:p>
    <w:p w14:paraId="508C2AAA">
      <w:pPr>
        <w:kinsoku/>
        <w:overflowPunct/>
        <w:bidi w:val="0"/>
        <w:spacing w:before="156" w:beforeLines="50" w:line="360" w:lineRule="auto"/>
        <w:ind w:firstLine="330" w:firstLineChars="150"/>
        <w:rPr>
          <w:color w:val="auto"/>
          <w:highlight w:val="none"/>
        </w:rPr>
      </w:pPr>
      <w:bookmarkStart w:id="73" w:name="_Toc477762521"/>
      <w:r>
        <w:rPr>
          <w:rStyle w:val="118"/>
          <w:b w:val="0"/>
          <w:bCs/>
          <w:color w:val="auto"/>
          <w:szCs w:val="21"/>
          <w:highlight w:val="none"/>
        </w:rPr>
        <w:t>6</w:t>
      </w:r>
      <w:r>
        <w:rPr>
          <w:rStyle w:val="118"/>
          <w:rFonts w:hint="eastAsia"/>
          <w:b w:val="0"/>
          <w:bCs/>
          <w:color w:val="auto"/>
          <w:szCs w:val="21"/>
          <w:highlight w:val="none"/>
        </w:rPr>
        <w:t xml:space="preserve"> </w:t>
      </w:r>
      <w:r>
        <w:rPr>
          <w:bCs/>
          <w:color w:val="auto"/>
          <w:highlight w:val="none"/>
        </w:rPr>
        <w:t>在试件上安装</w:t>
      </w:r>
      <w:r>
        <w:rPr>
          <w:rFonts w:hint="eastAsia"/>
          <w:bCs/>
          <w:color w:val="auto"/>
          <w:highlight w:val="none"/>
        </w:rPr>
        <w:t>仪表</w:t>
      </w:r>
      <w:r>
        <w:rPr>
          <w:bCs/>
          <w:color w:val="auto"/>
          <w:highlight w:val="none"/>
        </w:rPr>
        <w:t>固定架和</w:t>
      </w:r>
      <w:r>
        <w:rPr>
          <w:rFonts w:hint="eastAsia"/>
          <w:bCs/>
          <w:color w:val="auto"/>
          <w:highlight w:val="none"/>
        </w:rPr>
        <w:t>位移</w:t>
      </w:r>
      <w:r>
        <w:rPr>
          <w:bCs/>
          <w:color w:val="auto"/>
          <w:highlight w:val="none"/>
          <w:lang w:val="nb-NO"/>
        </w:rPr>
        <w:t>测量仪器</w:t>
      </w:r>
      <w:r>
        <w:rPr>
          <w:bCs/>
          <w:color w:val="auto"/>
          <w:highlight w:val="none"/>
        </w:rPr>
        <w:t>，</w:t>
      </w:r>
      <w:r>
        <w:rPr>
          <w:rFonts w:hint="eastAsia"/>
          <w:bCs/>
          <w:color w:val="auto"/>
          <w:highlight w:val="none"/>
        </w:rPr>
        <w:t>应</w:t>
      </w:r>
      <w:r>
        <w:rPr>
          <w:bCs/>
          <w:color w:val="auto"/>
          <w:highlight w:val="none"/>
        </w:rPr>
        <w:t>使</w:t>
      </w:r>
      <w:r>
        <w:rPr>
          <w:rFonts w:hint="eastAsia"/>
          <w:bCs/>
          <w:color w:val="auto"/>
          <w:highlight w:val="none"/>
        </w:rPr>
        <w:t>位移</w:t>
      </w:r>
      <w:r>
        <w:rPr>
          <w:bCs/>
          <w:color w:val="auto"/>
          <w:highlight w:val="none"/>
          <w:lang w:val="nb-NO"/>
        </w:rPr>
        <w:t>测量仪器</w:t>
      </w:r>
      <w:r>
        <w:rPr>
          <w:rFonts w:hint="eastAsia"/>
          <w:bCs/>
          <w:color w:val="auto"/>
          <w:highlight w:val="none"/>
          <w:lang w:val="nb-NO"/>
        </w:rPr>
        <w:t>测</w:t>
      </w:r>
      <w:r>
        <w:rPr>
          <w:bCs/>
          <w:color w:val="auto"/>
          <w:highlight w:val="none"/>
        </w:rPr>
        <w:t>杆端垂直向下，与略伸出试件表面的钢筋顶面相</w:t>
      </w:r>
      <w:r>
        <w:rPr>
          <w:color w:val="auto"/>
          <w:highlight w:val="none"/>
        </w:rPr>
        <w:t>接触。</w:t>
      </w:r>
      <w:bookmarkEnd w:id="73"/>
    </w:p>
    <w:p w14:paraId="2C4DA123">
      <w:pPr>
        <w:kinsoku/>
        <w:overflowPunct/>
        <w:bidi w:val="0"/>
        <w:spacing w:before="156" w:beforeLines="50" w:line="360" w:lineRule="auto"/>
        <w:ind w:firstLine="330" w:firstLineChars="150"/>
        <w:rPr>
          <w:bCs/>
          <w:color w:val="auto"/>
          <w:highlight w:val="none"/>
        </w:rPr>
      </w:pPr>
      <w:bookmarkStart w:id="74" w:name="_Toc477762522"/>
      <w:r>
        <w:rPr>
          <w:rStyle w:val="118"/>
          <w:b w:val="0"/>
          <w:bCs/>
          <w:color w:val="auto"/>
          <w:szCs w:val="21"/>
          <w:highlight w:val="none"/>
        </w:rPr>
        <w:t xml:space="preserve">7 </w:t>
      </w:r>
      <w:r>
        <w:rPr>
          <w:bCs/>
          <w:color w:val="auto"/>
          <w:highlight w:val="none"/>
        </w:rPr>
        <w:t>加荷前应检查</w:t>
      </w:r>
      <w:r>
        <w:rPr>
          <w:rFonts w:hint="eastAsia"/>
          <w:bCs/>
          <w:color w:val="auto"/>
          <w:highlight w:val="none"/>
        </w:rPr>
        <w:t>位移</w:t>
      </w:r>
      <w:r>
        <w:rPr>
          <w:bCs/>
          <w:color w:val="auto"/>
          <w:highlight w:val="none"/>
          <w:lang w:val="nb-NO"/>
        </w:rPr>
        <w:t>测量仪器</w:t>
      </w:r>
      <w:r>
        <w:rPr>
          <w:rFonts w:hint="eastAsia"/>
          <w:bCs/>
          <w:strike/>
          <w:color w:val="auto"/>
          <w:highlight w:val="none"/>
        </w:rPr>
        <w:t>量</w:t>
      </w:r>
      <w:r>
        <w:rPr>
          <w:rFonts w:hint="eastAsia"/>
          <w:bCs/>
          <w:color w:val="auto"/>
          <w:highlight w:val="none"/>
          <w:lang w:val="nb-NO"/>
        </w:rPr>
        <w:t>测</w:t>
      </w:r>
      <w:r>
        <w:rPr>
          <w:bCs/>
          <w:color w:val="auto"/>
          <w:highlight w:val="none"/>
        </w:rPr>
        <w:t>杆与钢筋顶面接触是否良好、</w:t>
      </w:r>
      <w:r>
        <w:rPr>
          <w:rFonts w:hint="eastAsia"/>
          <w:bCs/>
          <w:color w:val="auto"/>
          <w:highlight w:val="none"/>
        </w:rPr>
        <w:t>位移</w:t>
      </w:r>
      <w:r>
        <w:rPr>
          <w:bCs/>
          <w:color w:val="auto"/>
          <w:highlight w:val="none"/>
          <w:lang w:val="nb-NO"/>
        </w:rPr>
        <w:t>测量仪器</w:t>
      </w:r>
      <w:r>
        <w:rPr>
          <w:bCs/>
          <w:color w:val="auto"/>
          <w:highlight w:val="none"/>
        </w:rPr>
        <w:t>是否灵活，并进行适当的调整。</w:t>
      </w:r>
      <w:bookmarkEnd w:id="74"/>
    </w:p>
    <w:p w14:paraId="392B8C57">
      <w:pPr>
        <w:kinsoku/>
        <w:overflowPunct/>
        <w:bidi w:val="0"/>
        <w:spacing w:before="156" w:beforeLines="50" w:line="360" w:lineRule="auto"/>
        <w:ind w:firstLine="330" w:firstLineChars="150"/>
        <w:rPr>
          <w:bCs/>
          <w:color w:val="auto"/>
          <w:highlight w:val="none"/>
        </w:rPr>
      </w:pPr>
      <w:bookmarkStart w:id="75" w:name="_Toc477762523"/>
      <w:r>
        <w:rPr>
          <w:rStyle w:val="118"/>
          <w:b w:val="0"/>
          <w:bCs/>
          <w:color w:val="auto"/>
          <w:szCs w:val="21"/>
          <w:highlight w:val="none"/>
        </w:rPr>
        <w:t xml:space="preserve">8 </w:t>
      </w:r>
      <w:r>
        <w:rPr>
          <w:bCs/>
          <w:color w:val="auto"/>
          <w:highlight w:val="none"/>
        </w:rPr>
        <w:t>记下</w:t>
      </w:r>
      <w:r>
        <w:rPr>
          <w:rFonts w:hint="eastAsia"/>
          <w:bCs/>
          <w:color w:val="auto"/>
          <w:highlight w:val="none"/>
        </w:rPr>
        <w:t>位移</w:t>
      </w:r>
      <w:r>
        <w:rPr>
          <w:bCs/>
          <w:color w:val="auto"/>
          <w:highlight w:val="none"/>
          <w:lang w:val="nb-NO"/>
        </w:rPr>
        <w:t>测量仪器</w:t>
      </w:r>
      <w:r>
        <w:rPr>
          <w:bCs/>
          <w:color w:val="auto"/>
          <w:highlight w:val="none"/>
        </w:rPr>
        <w:t>的初始读数后，开动</w:t>
      </w:r>
      <w:r>
        <w:rPr>
          <w:rFonts w:hint="eastAsia"/>
          <w:bCs/>
          <w:color w:val="auto"/>
          <w:highlight w:val="none"/>
        </w:rPr>
        <w:t>拉力</w:t>
      </w:r>
      <w:r>
        <w:rPr>
          <w:bCs/>
          <w:color w:val="auto"/>
          <w:highlight w:val="none"/>
        </w:rPr>
        <w:t>试验机，以不超过400N/s的加荷速度拉拔钢筋。</w:t>
      </w:r>
      <w:r>
        <w:rPr>
          <w:rFonts w:hint="eastAsia"/>
          <w:bCs/>
          <w:color w:val="auto"/>
          <w:highlight w:val="none"/>
        </w:rPr>
        <w:t>试验过程中，如人工测读，记录每加荷</w:t>
      </w:r>
      <w:r>
        <w:rPr>
          <w:bCs/>
          <w:color w:val="auto"/>
          <w:highlight w:val="none"/>
        </w:rPr>
        <w:t>1000N~5000N</w:t>
      </w:r>
      <w:r>
        <w:rPr>
          <w:rFonts w:hint="eastAsia"/>
          <w:bCs/>
          <w:color w:val="auto"/>
          <w:highlight w:val="none"/>
        </w:rPr>
        <w:t>相应的位移测量仪器读数。</w:t>
      </w:r>
      <w:bookmarkEnd w:id="75"/>
    </w:p>
    <w:p w14:paraId="56B3AA2A">
      <w:pPr>
        <w:kinsoku/>
        <w:overflowPunct/>
        <w:bidi w:val="0"/>
        <w:spacing w:before="156" w:beforeLines="50" w:line="360" w:lineRule="auto"/>
        <w:ind w:firstLine="330" w:firstLineChars="150"/>
        <w:rPr>
          <w:bCs/>
          <w:color w:val="auto"/>
          <w:highlight w:val="none"/>
        </w:rPr>
      </w:pPr>
      <w:bookmarkStart w:id="76" w:name="_Toc477762524"/>
      <w:r>
        <w:rPr>
          <w:rStyle w:val="118"/>
          <w:b w:val="0"/>
          <w:bCs/>
          <w:color w:val="auto"/>
          <w:szCs w:val="21"/>
          <w:highlight w:val="none"/>
        </w:rPr>
        <w:t>9</w:t>
      </w:r>
      <w:r>
        <w:rPr>
          <w:bCs/>
          <w:color w:val="auto"/>
          <w:highlight w:val="none"/>
        </w:rPr>
        <w:t>到达</w:t>
      </w:r>
      <w:r>
        <w:rPr>
          <w:bCs/>
          <w:color w:val="auto"/>
          <w:szCs w:val="21"/>
          <w:highlight w:val="none"/>
        </w:rPr>
        <w:t>下列</w:t>
      </w:r>
      <w:r>
        <w:rPr>
          <w:bCs/>
          <w:color w:val="auto"/>
          <w:highlight w:val="none"/>
        </w:rPr>
        <w:t>任何一种情况时应停止加荷：</w:t>
      </w:r>
      <w:bookmarkEnd w:id="76"/>
    </w:p>
    <w:p w14:paraId="4593EED0">
      <w:pPr>
        <w:pStyle w:val="53"/>
        <w:kinsoku/>
        <w:overflowPunct/>
        <w:bidi w:val="0"/>
        <w:spacing w:line="360" w:lineRule="auto"/>
        <w:ind w:firstLine="525" w:firstLineChars="250"/>
        <w:rPr>
          <w:color w:val="auto"/>
          <w:highlight w:val="none"/>
        </w:rPr>
      </w:pPr>
      <w:bookmarkStart w:id="77" w:name="_Toc477762525"/>
      <w:r>
        <w:rPr>
          <w:color w:val="auto"/>
          <w:highlight w:val="none"/>
        </w:rPr>
        <w:t>1</w:t>
      </w:r>
      <w:r>
        <w:rPr>
          <w:rFonts w:hint="eastAsia"/>
          <w:color w:val="auto"/>
          <w:highlight w:val="none"/>
        </w:rPr>
        <w:t>）</w:t>
      </w:r>
      <w:r>
        <w:rPr>
          <w:color w:val="auto"/>
          <w:highlight w:val="none"/>
        </w:rPr>
        <w:t>钢筋达到屈服点；</w:t>
      </w:r>
      <w:bookmarkEnd w:id="77"/>
    </w:p>
    <w:p w14:paraId="573D8E6F">
      <w:pPr>
        <w:pStyle w:val="53"/>
        <w:kinsoku/>
        <w:overflowPunct/>
        <w:bidi w:val="0"/>
        <w:spacing w:line="360" w:lineRule="auto"/>
        <w:ind w:firstLine="525" w:firstLineChars="250"/>
        <w:rPr>
          <w:color w:val="auto"/>
          <w:highlight w:val="none"/>
        </w:rPr>
      </w:pPr>
      <w:bookmarkStart w:id="78" w:name="_Toc477762526"/>
      <w:r>
        <w:rPr>
          <w:color w:val="auto"/>
          <w:highlight w:val="none"/>
        </w:rPr>
        <w:t>2</w:t>
      </w:r>
      <w:r>
        <w:rPr>
          <w:rFonts w:hint="eastAsia"/>
          <w:color w:val="auto"/>
          <w:highlight w:val="none"/>
        </w:rPr>
        <w:t>）超高性能</w:t>
      </w:r>
      <w:r>
        <w:rPr>
          <w:rFonts w:hint="eastAsia"/>
          <w:color w:val="auto"/>
          <w:szCs w:val="21"/>
          <w:highlight w:val="none"/>
          <w:lang w:val="nb-NO"/>
        </w:rPr>
        <w:t>混凝土</w:t>
      </w:r>
      <w:r>
        <w:rPr>
          <w:color w:val="auto"/>
          <w:highlight w:val="none"/>
        </w:rPr>
        <w:t>发生破裂；</w:t>
      </w:r>
      <w:bookmarkEnd w:id="78"/>
    </w:p>
    <w:p w14:paraId="6F8E0F3D">
      <w:pPr>
        <w:pStyle w:val="53"/>
        <w:kinsoku/>
        <w:overflowPunct/>
        <w:bidi w:val="0"/>
        <w:spacing w:line="360" w:lineRule="auto"/>
        <w:ind w:firstLine="525" w:firstLineChars="250"/>
        <w:rPr>
          <w:color w:val="auto"/>
          <w:highlight w:val="none"/>
        </w:rPr>
      </w:pPr>
      <w:bookmarkStart w:id="79" w:name="_Toc477762527"/>
      <w:r>
        <w:rPr>
          <w:color w:val="auto"/>
          <w:highlight w:val="none"/>
        </w:rPr>
        <w:t>3</w:t>
      </w:r>
      <w:r>
        <w:rPr>
          <w:rFonts w:hint="eastAsia"/>
          <w:color w:val="auto"/>
          <w:highlight w:val="none"/>
        </w:rPr>
        <w:t>）</w:t>
      </w:r>
      <w:r>
        <w:rPr>
          <w:color w:val="auto"/>
          <w:highlight w:val="none"/>
        </w:rPr>
        <w:t>钢筋的滑动变形超过0.1mm。</w:t>
      </w:r>
      <w:bookmarkEnd w:id="79"/>
    </w:p>
    <w:p w14:paraId="37EB8BF9">
      <w:pPr>
        <w:pStyle w:val="18"/>
        <w:kinsoku/>
        <w:overflowPunct/>
        <w:bidi w:val="0"/>
        <w:spacing w:before="156" w:after="93" w:line="360" w:lineRule="auto"/>
        <w:ind w:firstLine="0" w:firstLineChars="0"/>
        <w:rPr>
          <w:bCs/>
          <w:color w:val="auto"/>
          <w:highlight w:val="none"/>
        </w:rPr>
      </w:pPr>
      <w:bookmarkStart w:id="80" w:name="_Toc477762528"/>
      <w:r>
        <w:rPr>
          <w:bCs/>
          <w:color w:val="auto"/>
          <w:highlight w:val="none"/>
        </w:rPr>
        <w:t>6.9.</w:t>
      </w:r>
      <w:r>
        <w:rPr>
          <w:rFonts w:hint="eastAsia"/>
          <w:bCs/>
          <w:color w:val="auto"/>
          <w:highlight w:val="none"/>
        </w:rPr>
        <w:t>3 超高性能混凝土与钢筋的握裹强度试验结果计算及确定应按下列方法进行</w:t>
      </w:r>
      <w:bookmarkEnd w:id="80"/>
      <w:r>
        <w:rPr>
          <w:rFonts w:hint="eastAsia"/>
          <w:bCs/>
          <w:color w:val="auto"/>
          <w:highlight w:val="none"/>
        </w:rPr>
        <w:t>。</w:t>
      </w:r>
    </w:p>
    <w:p w14:paraId="6265B030">
      <w:pPr>
        <w:kinsoku/>
        <w:overflowPunct/>
        <w:bidi w:val="0"/>
        <w:spacing w:before="156" w:beforeLines="50" w:line="360" w:lineRule="auto"/>
        <w:ind w:firstLine="315" w:firstLineChars="150"/>
        <w:rPr>
          <w:bCs/>
          <w:color w:val="auto"/>
          <w:highlight w:val="none"/>
        </w:rPr>
      </w:pPr>
      <w:bookmarkStart w:id="81" w:name="_Toc477762529"/>
      <w:r>
        <w:rPr>
          <w:bCs/>
          <w:color w:val="auto"/>
          <w:highlight w:val="none"/>
        </w:rPr>
        <w:t>1</w:t>
      </w:r>
      <w:r>
        <w:rPr>
          <w:rFonts w:hint="eastAsia"/>
          <w:bCs/>
          <w:color w:val="auto"/>
          <w:highlight w:val="none"/>
        </w:rPr>
        <w:t xml:space="preserve"> </w:t>
      </w:r>
      <w:r>
        <w:rPr>
          <w:bCs/>
          <w:color w:val="auto"/>
          <w:highlight w:val="none"/>
        </w:rPr>
        <w:t>将</w:t>
      </w:r>
      <w:r>
        <w:rPr>
          <w:bCs/>
          <w:color w:val="auto"/>
          <w:szCs w:val="21"/>
          <w:highlight w:val="none"/>
        </w:rPr>
        <w:t>各级</w:t>
      </w:r>
      <w:r>
        <w:rPr>
          <w:bCs/>
          <w:color w:val="auto"/>
          <w:highlight w:val="none"/>
        </w:rPr>
        <w:t>荷载下的</w:t>
      </w:r>
      <w:r>
        <w:rPr>
          <w:rFonts w:hint="eastAsia"/>
          <w:bCs/>
          <w:color w:val="auto"/>
          <w:highlight w:val="none"/>
        </w:rPr>
        <w:t>位移</w:t>
      </w:r>
      <w:r>
        <w:rPr>
          <w:bCs/>
          <w:color w:val="auto"/>
          <w:highlight w:val="none"/>
          <w:lang w:val="nb-NO"/>
        </w:rPr>
        <w:t>测量仪器</w:t>
      </w:r>
      <w:r>
        <w:rPr>
          <w:bCs/>
          <w:color w:val="auto"/>
          <w:highlight w:val="none"/>
        </w:rPr>
        <w:t>读数减去初始读数，即得该荷载下的滑动变形。</w:t>
      </w:r>
      <w:bookmarkEnd w:id="81"/>
    </w:p>
    <w:p w14:paraId="72250E61">
      <w:pPr>
        <w:kinsoku/>
        <w:overflowPunct/>
        <w:bidi w:val="0"/>
        <w:spacing w:before="156" w:beforeLines="50" w:line="360" w:lineRule="auto"/>
        <w:ind w:firstLine="315" w:firstLineChars="150"/>
        <w:rPr>
          <w:color w:val="auto"/>
          <w:highlight w:val="none"/>
        </w:rPr>
      </w:pPr>
      <w:bookmarkStart w:id="82" w:name="_Toc477762530"/>
      <w:r>
        <w:rPr>
          <w:bCs/>
          <w:color w:val="auto"/>
          <w:highlight w:val="none"/>
        </w:rPr>
        <w:t>2</w:t>
      </w:r>
      <w:r>
        <w:rPr>
          <w:rFonts w:hint="eastAsia"/>
          <w:bCs/>
          <w:color w:val="auto"/>
          <w:highlight w:val="none"/>
        </w:rPr>
        <w:t xml:space="preserve"> </w:t>
      </w:r>
      <w:r>
        <w:rPr>
          <w:bCs/>
          <w:color w:val="auto"/>
          <w:highlight w:val="none"/>
        </w:rPr>
        <w:t>当</w:t>
      </w:r>
      <w:r>
        <w:rPr>
          <w:bCs/>
          <w:color w:val="auto"/>
          <w:szCs w:val="21"/>
          <w:highlight w:val="none"/>
        </w:rPr>
        <w:t>采用</w:t>
      </w:r>
      <w:r>
        <w:rPr>
          <w:bCs/>
          <w:color w:val="auto"/>
          <w:highlight w:val="none"/>
        </w:rPr>
        <w:t>带</w:t>
      </w:r>
      <w:r>
        <w:rPr>
          <w:color w:val="auto"/>
          <w:highlight w:val="none"/>
        </w:rPr>
        <w:t>肋钢筋时，以六个试件在各级荷载下滑动变形的算术平均值为横坐标，以荷载为纵坐标，绘出荷载</w:t>
      </w:r>
      <w:r>
        <w:rPr>
          <w:rFonts w:hint="eastAsia"/>
          <w:color w:val="auto"/>
          <w:highlight w:val="none"/>
        </w:rPr>
        <w:t>-</w:t>
      </w:r>
      <w:r>
        <w:rPr>
          <w:bCs/>
          <w:color w:val="auto"/>
          <w:szCs w:val="21"/>
          <w:highlight w:val="none"/>
        </w:rPr>
        <w:t>滑动</w:t>
      </w:r>
      <w:r>
        <w:rPr>
          <w:color w:val="auto"/>
          <w:highlight w:val="none"/>
        </w:rPr>
        <w:t>变形关系曲线。取滑动变形0.01mm、0.05mm、0.10mm</w:t>
      </w:r>
      <w:r>
        <w:rPr>
          <w:rFonts w:hint="eastAsia"/>
          <w:color w:val="auto"/>
          <w:highlight w:val="none"/>
        </w:rPr>
        <w:t>，</w:t>
      </w:r>
      <w:r>
        <w:rPr>
          <w:color w:val="auto"/>
          <w:highlight w:val="none"/>
        </w:rPr>
        <w:t>在曲线上查出相应的荷载。</w:t>
      </w:r>
      <w:bookmarkEnd w:id="82"/>
    </w:p>
    <w:p w14:paraId="12A5A37D">
      <w:pPr>
        <w:kinsoku/>
        <w:overflowPunct/>
        <w:bidi w:val="0"/>
        <w:spacing w:before="156" w:beforeLines="50" w:line="360" w:lineRule="auto"/>
        <w:ind w:firstLine="315" w:firstLineChars="150"/>
        <w:rPr>
          <w:color w:val="auto"/>
          <w:highlight w:val="none"/>
        </w:rPr>
      </w:pPr>
      <w:bookmarkStart w:id="83" w:name="_Toc477762531"/>
      <w:r>
        <w:rPr>
          <w:rFonts w:hint="eastAsia"/>
          <w:color w:val="auto"/>
          <w:highlight w:val="none"/>
        </w:rPr>
        <w:t>混凝土与</w:t>
      </w:r>
      <w:r>
        <w:rPr>
          <w:bCs/>
          <w:color w:val="auto"/>
          <w:szCs w:val="21"/>
          <w:highlight w:val="none"/>
        </w:rPr>
        <w:t>钢筋</w:t>
      </w:r>
      <w:r>
        <w:rPr>
          <w:rFonts w:hint="eastAsia"/>
          <w:color w:val="auto"/>
          <w:highlight w:val="none"/>
        </w:rPr>
        <w:t>的</w:t>
      </w:r>
      <w:r>
        <w:rPr>
          <w:color w:val="auto"/>
          <w:highlight w:val="none"/>
        </w:rPr>
        <w:t>握裹强度</w:t>
      </w:r>
      <w:r>
        <w:rPr>
          <w:rFonts w:hint="eastAsia"/>
          <w:color w:val="auto"/>
          <w:highlight w:val="none"/>
        </w:rPr>
        <w:t>应</w:t>
      </w:r>
      <w:r>
        <w:rPr>
          <w:color w:val="auto"/>
          <w:highlight w:val="none"/>
        </w:rPr>
        <w:t>按</w:t>
      </w:r>
      <w:r>
        <w:rPr>
          <w:rFonts w:hint="eastAsia"/>
          <w:color w:val="auto"/>
          <w:highlight w:val="none"/>
        </w:rPr>
        <w:t>下列公式</w:t>
      </w:r>
      <w:r>
        <w:rPr>
          <w:color w:val="auto"/>
          <w:highlight w:val="none"/>
        </w:rPr>
        <w:t>计算：</w:t>
      </w:r>
      <w:bookmarkEnd w:id="83"/>
    </w:p>
    <w:p w14:paraId="777DBCD0">
      <w:pPr>
        <w:pStyle w:val="18"/>
        <w:kinsoku/>
        <w:wordWrap w:val="0"/>
        <w:overflowPunct/>
        <w:bidi w:val="0"/>
        <w:spacing w:before="156" w:after="93" w:line="360" w:lineRule="auto"/>
        <w:ind w:firstLine="420"/>
        <w:jc w:val="right"/>
        <w:rPr>
          <w:color w:val="auto"/>
          <w:highlight w:val="none"/>
        </w:rPr>
      </w:pPr>
      <w:bookmarkStart w:id="84" w:name="_Toc477762532"/>
      <w:r>
        <w:rPr>
          <w:color w:val="auto"/>
          <w:position w:val="-24"/>
          <w:highlight w:val="none"/>
        </w:rPr>
        <w:object>
          <v:shape id="_x0000_i1070" o:spt="75" type="#_x0000_t75" style="height:29.95pt;width:76.65pt;" o:ole="t" filled="f" o:preferrelative="t" stroked="f" coordsize="21600,21600">
            <v:path/>
            <v:fill on="f" focussize="0,0"/>
            <v:stroke on="f" joinstyle="miter"/>
            <v:imagedata r:id="rId125" o:title=""/>
            <o:lock v:ext="edit" aspectratio="t"/>
            <w10:wrap type="none"/>
            <w10:anchorlock/>
          </v:shape>
          <o:OLEObject Type="Embed" ProgID="Equation.DSMT4" ShapeID="_x0000_i1070" DrawAspect="Content" ObjectID="_1468075770" r:id="rId124">
            <o:LockedField>false</o:LockedField>
          </o:OLEObject>
        </w:object>
      </w:r>
      <w:r>
        <w:rPr>
          <w:rFonts w:hint="eastAsia"/>
          <w:color w:val="auto"/>
          <w:highlight w:val="none"/>
        </w:rPr>
        <w:t xml:space="preserve">                              </w:t>
      </w:r>
      <w:r>
        <w:rPr>
          <w:color w:val="auto"/>
          <w:highlight w:val="none"/>
        </w:rPr>
        <w:t>（</w:t>
      </w:r>
      <w:r>
        <w:rPr>
          <w:rFonts w:hint="eastAsia"/>
          <w:color w:val="auto"/>
          <w:highlight w:val="none"/>
        </w:rPr>
        <w:t>6.9</w:t>
      </w:r>
      <w:r>
        <w:rPr>
          <w:color w:val="auto"/>
          <w:highlight w:val="none"/>
        </w:rPr>
        <w:t>.</w:t>
      </w:r>
      <w:r>
        <w:rPr>
          <w:strike/>
          <w:color w:val="auto"/>
          <w:highlight w:val="none"/>
        </w:rPr>
        <w:t>4</w:t>
      </w:r>
      <w:r>
        <w:rPr>
          <w:rFonts w:hint="eastAsia"/>
          <w:bCs/>
          <w:color w:val="auto"/>
          <w:highlight w:val="none"/>
        </w:rPr>
        <w:t>3</w:t>
      </w:r>
      <w:r>
        <w:rPr>
          <w:color w:val="auto"/>
          <w:highlight w:val="none"/>
        </w:rPr>
        <w:t>-</w:t>
      </w:r>
      <w:r>
        <w:rPr>
          <w:rFonts w:hint="eastAsia"/>
          <w:color w:val="auto"/>
          <w:highlight w:val="none"/>
        </w:rPr>
        <w:t>1</w:t>
      </w:r>
      <w:r>
        <w:rPr>
          <w:color w:val="auto"/>
          <w:highlight w:val="none"/>
        </w:rPr>
        <w:t>）</w:t>
      </w:r>
      <w:bookmarkEnd w:id="84"/>
    </w:p>
    <w:p w14:paraId="2DC15F90">
      <w:pPr>
        <w:pStyle w:val="18"/>
        <w:kinsoku/>
        <w:overflowPunct/>
        <w:bidi w:val="0"/>
        <w:spacing w:before="156" w:after="93" w:line="360" w:lineRule="auto"/>
        <w:ind w:firstLine="420"/>
        <w:jc w:val="right"/>
        <w:rPr>
          <w:color w:val="auto"/>
          <w:highlight w:val="none"/>
        </w:rPr>
      </w:pPr>
      <w:bookmarkStart w:id="85" w:name="_Toc477762533"/>
      <w:r>
        <w:rPr>
          <w:i/>
          <w:color w:val="auto"/>
          <w:highlight w:val="none"/>
        </w:rPr>
        <w:t>A=πDL</w:t>
      </w:r>
      <w:r>
        <w:rPr>
          <w:rFonts w:hint="eastAsia"/>
          <w:color w:val="auto"/>
          <w:highlight w:val="none"/>
        </w:rPr>
        <w:t xml:space="preserve">                                  （6.9</w:t>
      </w:r>
      <w:r>
        <w:rPr>
          <w:color w:val="auto"/>
          <w:highlight w:val="none"/>
        </w:rPr>
        <w:t>.</w:t>
      </w:r>
      <w:r>
        <w:rPr>
          <w:strike/>
          <w:color w:val="auto"/>
          <w:highlight w:val="none"/>
        </w:rPr>
        <w:t>4</w:t>
      </w:r>
      <w:r>
        <w:rPr>
          <w:rFonts w:hint="eastAsia"/>
          <w:bCs/>
          <w:color w:val="auto"/>
          <w:highlight w:val="none"/>
        </w:rPr>
        <w:t>3</w:t>
      </w:r>
      <w:r>
        <w:rPr>
          <w:color w:val="auto"/>
          <w:highlight w:val="none"/>
        </w:rPr>
        <w:t>-</w:t>
      </w:r>
      <w:r>
        <w:rPr>
          <w:rFonts w:hint="eastAsia"/>
          <w:color w:val="auto"/>
          <w:highlight w:val="none"/>
        </w:rPr>
        <w:t>2）</w:t>
      </w:r>
      <w:bookmarkEnd w:id="85"/>
    </w:p>
    <w:p w14:paraId="6E7BF5A5">
      <w:pPr>
        <w:pStyle w:val="18"/>
        <w:kinsoku/>
        <w:overflowPunct/>
        <w:bidi w:val="0"/>
        <w:spacing w:before="156" w:after="93" w:line="360" w:lineRule="auto"/>
        <w:ind w:firstLine="0" w:firstLineChars="0"/>
        <w:rPr>
          <w:color w:val="auto"/>
          <w:highlight w:val="none"/>
        </w:rPr>
      </w:pPr>
      <w:bookmarkStart w:id="86" w:name="_Toc477762534"/>
      <w:r>
        <w:rPr>
          <w:color w:val="auto"/>
          <w:highlight w:val="none"/>
        </w:rPr>
        <w:t>式中</w:t>
      </w:r>
      <w:r>
        <w:rPr>
          <w:rFonts w:hint="eastAsia"/>
          <w:color w:val="auto"/>
          <w:highlight w:val="none"/>
        </w:rPr>
        <w:t>：</w:t>
      </w:r>
      <w:r>
        <w:rPr>
          <w:i/>
          <w:color w:val="auto"/>
          <w:highlight w:val="none"/>
        </w:rPr>
        <w:t>τ</w:t>
      </w:r>
      <w:r>
        <w:rPr>
          <w:rFonts w:hint="eastAsia"/>
          <w:color w:val="auto"/>
          <w:highlight w:val="none"/>
        </w:rPr>
        <w:t>——</w:t>
      </w:r>
      <w:r>
        <w:rPr>
          <w:color w:val="auto"/>
          <w:highlight w:val="none"/>
        </w:rPr>
        <w:t>钢筋握裹强度</w:t>
      </w:r>
      <w:r>
        <w:rPr>
          <w:rFonts w:hint="eastAsia"/>
          <w:color w:val="auto"/>
          <w:highlight w:val="none"/>
        </w:rPr>
        <w:t>（</w:t>
      </w:r>
      <w:r>
        <w:rPr>
          <w:color w:val="auto"/>
          <w:highlight w:val="none"/>
        </w:rPr>
        <w:t>MPa</w:t>
      </w:r>
      <w:r>
        <w:rPr>
          <w:rFonts w:hint="eastAsia"/>
          <w:color w:val="auto"/>
          <w:highlight w:val="none"/>
        </w:rPr>
        <w:t>），计算结果精确至0.1MPa</w:t>
      </w:r>
      <w:r>
        <w:rPr>
          <w:color w:val="auto"/>
          <w:highlight w:val="none"/>
        </w:rPr>
        <w:t>；</w:t>
      </w:r>
      <w:bookmarkEnd w:id="86"/>
    </w:p>
    <w:p w14:paraId="248BAF15">
      <w:pPr>
        <w:pStyle w:val="18"/>
        <w:kinsoku/>
        <w:overflowPunct/>
        <w:bidi w:val="0"/>
        <w:spacing w:before="156" w:after="93" w:line="360" w:lineRule="auto"/>
        <w:ind w:firstLine="525" w:firstLineChars="250"/>
        <w:rPr>
          <w:color w:val="auto"/>
          <w:highlight w:val="none"/>
        </w:rPr>
      </w:pPr>
      <w:bookmarkStart w:id="87" w:name="_Toc477762535"/>
      <w:r>
        <w:rPr>
          <w:i/>
          <w:color w:val="auto"/>
          <w:highlight w:val="none"/>
        </w:rPr>
        <w:t>P</w:t>
      </w:r>
      <w:r>
        <w:rPr>
          <w:color w:val="auto"/>
          <w:highlight w:val="none"/>
          <w:vertAlign w:val="subscript"/>
        </w:rPr>
        <w:t>1</w:t>
      </w:r>
      <w:r>
        <w:rPr>
          <w:rFonts w:hint="eastAsia"/>
          <w:color w:val="auto"/>
          <w:highlight w:val="none"/>
        </w:rPr>
        <w:t>——</w:t>
      </w:r>
      <w:r>
        <w:rPr>
          <w:color w:val="auto"/>
          <w:highlight w:val="none"/>
        </w:rPr>
        <w:t>滑动变形为0.01mm 时的荷载</w:t>
      </w:r>
      <w:r>
        <w:rPr>
          <w:rFonts w:hint="eastAsia"/>
          <w:color w:val="auto"/>
          <w:highlight w:val="none"/>
        </w:rPr>
        <w:t>（</w:t>
      </w:r>
      <w:r>
        <w:rPr>
          <w:color w:val="auto"/>
          <w:highlight w:val="none"/>
        </w:rPr>
        <w:t>N</w:t>
      </w:r>
      <w:r>
        <w:rPr>
          <w:rFonts w:hint="eastAsia"/>
          <w:color w:val="auto"/>
          <w:highlight w:val="none"/>
        </w:rPr>
        <w:t>）</w:t>
      </w:r>
      <w:r>
        <w:rPr>
          <w:color w:val="auto"/>
          <w:highlight w:val="none"/>
        </w:rPr>
        <w:t>；</w:t>
      </w:r>
      <w:bookmarkEnd w:id="87"/>
    </w:p>
    <w:p w14:paraId="1DC88116">
      <w:pPr>
        <w:pStyle w:val="18"/>
        <w:kinsoku/>
        <w:overflowPunct/>
        <w:bidi w:val="0"/>
        <w:spacing w:before="156" w:after="93" w:line="360" w:lineRule="auto"/>
        <w:ind w:firstLine="525" w:firstLineChars="250"/>
        <w:rPr>
          <w:color w:val="auto"/>
          <w:highlight w:val="none"/>
        </w:rPr>
      </w:pPr>
      <w:bookmarkStart w:id="88" w:name="_Toc477762536"/>
      <w:r>
        <w:rPr>
          <w:i/>
          <w:color w:val="auto"/>
          <w:highlight w:val="none"/>
        </w:rPr>
        <w:t>P</w:t>
      </w:r>
      <w:r>
        <w:rPr>
          <w:color w:val="auto"/>
          <w:highlight w:val="none"/>
          <w:vertAlign w:val="subscript"/>
        </w:rPr>
        <w:t>2</w:t>
      </w:r>
      <w:r>
        <w:rPr>
          <w:rFonts w:hint="eastAsia"/>
          <w:color w:val="auto"/>
          <w:highlight w:val="none"/>
        </w:rPr>
        <w:t>——</w:t>
      </w:r>
      <w:r>
        <w:rPr>
          <w:color w:val="auto"/>
          <w:highlight w:val="none"/>
        </w:rPr>
        <w:t>滑动变形为0.05mm 时的荷载</w:t>
      </w:r>
      <w:r>
        <w:rPr>
          <w:rFonts w:hint="eastAsia"/>
          <w:color w:val="auto"/>
          <w:highlight w:val="none"/>
        </w:rPr>
        <w:t>（</w:t>
      </w:r>
      <w:r>
        <w:rPr>
          <w:color w:val="auto"/>
          <w:highlight w:val="none"/>
        </w:rPr>
        <w:t>N</w:t>
      </w:r>
      <w:r>
        <w:rPr>
          <w:rFonts w:hint="eastAsia"/>
          <w:color w:val="auto"/>
          <w:highlight w:val="none"/>
        </w:rPr>
        <w:t>）</w:t>
      </w:r>
      <w:r>
        <w:rPr>
          <w:color w:val="auto"/>
          <w:highlight w:val="none"/>
        </w:rPr>
        <w:t>；</w:t>
      </w:r>
      <w:bookmarkEnd w:id="88"/>
    </w:p>
    <w:p w14:paraId="300CF545">
      <w:pPr>
        <w:pStyle w:val="18"/>
        <w:kinsoku/>
        <w:overflowPunct/>
        <w:bidi w:val="0"/>
        <w:spacing w:before="156" w:after="93" w:line="360" w:lineRule="auto"/>
        <w:ind w:firstLine="525" w:firstLineChars="250"/>
        <w:rPr>
          <w:color w:val="auto"/>
          <w:highlight w:val="none"/>
        </w:rPr>
      </w:pPr>
      <w:bookmarkStart w:id="89" w:name="_Toc477762537"/>
      <w:r>
        <w:rPr>
          <w:i/>
          <w:color w:val="auto"/>
          <w:highlight w:val="none"/>
        </w:rPr>
        <w:t>P</w:t>
      </w:r>
      <w:r>
        <w:rPr>
          <w:color w:val="auto"/>
          <w:highlight w:val="none"/>
          <w:vertAlign w:val="subscript"/>
        </w:rPr>
        <w:t>3</w:t>
      </w:r>
      <w:r>
        <w:rPr>
          <w:rFonts w:hint="eastAsia"/>
          <w:color w:val="auto"/>
          <w:highlight w:val="none"/>
        </w:rPr>
        <w:t>——</w:t>
      </w:r>
      <w:r>
        <w:rPr>
          <w:color w:val="auto"/>
          <w:highlight w:val="none"/>
        </w:rPr>
        <w:t>滑动变形为0.10mm 时的荷载</w:t>
      </w:r>
      <w:r>
        <w:rPr>
          <w:rFonts w:hint="eastAsia"/>
          <w:color w:val="auto"/>
          <w:highlight w:val="none"/>
        </w:rPr>
        <w:t>（</w:t>
      </w:r>
      <w:r>
        <w:rPr>
          <w:color w:val="auto"/>
          <w:highlight w:val="none"/>
        </w:rPr>
        <w:t>N</w:t>
      </w:r>
      <w:r>
        <w:rPr>
          <w:rFonts w:hint="eastAsia"/>
          <w:color w:val="auto"/>
          <w:highlight w:val="none"/>
        </w:rPr>
        <w:t>）</w:t>
      </w:r>
      <w:r>
        <w:rPr>
          <w:color w:val="auto"/>
          <w:highlight w:val="none"/>
        </w:rPr>
        <w:t>；</w:t>
      </w:r>
      <w:bookmarkEnd w:id="89"/>
    </w:p>
    <w:p w14:paraId="7C2A2E75">
      <w:pPr>
        <w:pStyle w:val="18"/>
        <w:kinsoku/>
        <w:overflowPunct/>
        <w:bidi w:val="0"/>
        <w:spacing w:before="156" w:after="93" w:line="360" w:lineRule="auto"/>
        <w:ind w:firstLine="525" w:firstLineChars="250"/>
        <w:rPr>
          <w:color w:val="auto"/>
          <w:highlight w:val="none"/>
        </w:rPr>
      </w:pPr>
      <w:bookmarkStart w:id="90" w:name="_Toc477762538"/>
      <w:r>
        <w:rPr>
          <w:i/>
          <w:color w:val="auto"/>
          <w:highlight w:val="none"/>
        </w:rPr>
        <w:t>A</w:t>
      </w:r>
      <w:r>
        <w:rPr>
          <w:rFonts w:hint="eastAsia"/>
          <w:color w:val="auto"/>
          <w:highlight w:val="none"/>
        </w:rPr>
        <w:t>——</w:t>
      </w:r>
      <w:r>
        <w:rPr>
          <w:color w:val="auto"/>
          <w:highlight w:val="none"/>
        </w:rPr>
        <w:t>埋入混凝土的钢筋表面积</w:t>
      </w:r>
      <w:r>
        <w:rPr>
          <w:rFonts w:hint="eastAsia"/>
          <w:color w:val="auto"/>
          <w:highlight w:val="none"/>
        </w:rPr>
        <w:t>（</w:t>
      </w:r>
      <w:r>
        <w:rPr>
          <w:color w:val="auto"/>
          <w:highlight w:val="none"/>
        </w:rPr>
        <w:t>mm</w:t>
      </w:r>
      <w:r>
        <w:rPr>
          <w:color w:val="auto"/>
          <w:highlight w:val="none"/>
          <w:vertAlign w:val="superscript"/>
        </w:rPr>
        <w:t>2</w:t>
      </w:r>
      <w:r>
        <w:rPr>
          <w:rFonts w:hint="eastAsia"/>
          <w:color w:val="auto"/>
          <w:highlight w:val="none"/>
        </w:rPr>
        <w:t>）</w:t>
      </w:r>
      <w:r>
        <w:rPr>
          <w:color w:val="auto"/>
          <w:highlight w:val="none"/>
        </w:rPr>
        <w:t>；</w:t>
      </w:r>
      <w:bookmarkEnd w:id="90"/>
    </w:p>
    <w:p w14:paraId="794528E6">
      <w:pPr>
        <w:pStyle w:val="18"/>
        <w:kinsoku/>
        <w:overflowPunct/>
        <w:bidi w:val="0"/>
        <w:spacing w:before="156" w:after="93" w:line="360" w:lineRule="auto"/>
        <w:ind w:firstLine="525" w:firstLineChars="250"/>
        <w:rPr>
          <w:color w:val="auto"/>
          <w:highlight w:val="none"/>
        </w:rPr>
      </w:pPr>
      <w:bookmarkStart w:id="91" w:name="_Toc477762539"/>
      <w:r>
        <w:rPr>
          <w:i/>
          <w:color w:val="auto"/>
          <w:highlight w:val="none"/>
        </w:rPr>
        <w:t>D</w:t>
      </w:r>
      <w:r>
        <w:rPr>
          <w:rFonts w:hint="eastAsia"/>
          <w:color w:val="auto"/>
          <w:highlight w:val="none"/>
        </w:rPr>
        <w:t>——</w:t>
      </w:r>
      <w:r>
        <w:rPr>
          <w:color w:val="auto"/>
          <w:highlight w:val="none"/>
        </w:rPr>
        <w:t>钢筋的</w:t>
      </w:r>
      <w:r>
        <w:rPr>
          <w:rFonts w:hint="eastAsia"/>
          <w:color w:val="auto"/>
          <w:highlight w:val="none"/>
        </w:rPr>
        <w:t>公称</w:t>
      </w:r>
      <w:r>
        <w:rPr>
          <w:color w:val="auto"/>
          <w:highlight w:val="none"/>
        </w:rPr>
        <w:t>直径</w:t>
      </w:r>
      <w:r>
        <w:rPr>
          <w:rFonts w:hint="eastAsia"/>
          <w:color w:val="auto"/>
          <w:highlight w:val="none"/>
        </w:rPr>
        <w:t>（</w:t>
      </w:r>
      <w:r>
        <w:rPr>
          <w:color w:val="auto"/>
          <w:highlight w:val="none"/>
        </w:rPr>
        <w:t>mm</w:t>
      </w:r>
      <w:r>
        <w:rPr>
          <w:rFonts w:hint="eastAsia"/>
          <w:color w:val="auto"/>
          <w:highlight w:val="none"/>
        </w:rPr>
        <w:t>）</w:t>
      </w:r>
      <w:r>
        <w:rPr>
          <w:color w:val="auto"/>
          <w:highlight w:val="none"/>
        </w:rPr>
        <w:t>；</w:t>
      </w:r>
      <w:bookmarkEnd w:id="91"/>
    </w:p>
    <w:p w14:paraId="6D3EFD0F">
      <w:pPr>
        <w:pStyle w:val="18"/>
        <w:kinsoku/>
        <w:overflowPunct/>
        <w:bidi w:val="0"/>
        <w:spacing w:before="156" w:after="93" w:line="360" w:lineRule="auto"/>
        <w:ind w:firstLine="525" w:firstLineChars="250"/>
        <w:rPr>
          <w:color w:val="auto"/>
          <w:highlight w:val="none"/>
        </w:rPr>
      </w:pPr>
      <w:bookmarkStart w:id="92" w:name="_Toc477762540"/>
      <w:r>
        <w:rPr>
          <w:i/>
          <w:color w:val="auto"/>
          <w:highlight w:val="none"/>
        </w:rPr>
        <w:t>L</w:t>
      </w:r>
      <w:r>
        <w:rPr>
          <w:rFonts w:hint="eastAsia"/>
          <w:color w:val="auto"/>
          <w:highlight w:val="none"/>
        </w:rPr>
        <w:t>——</w:t>
      </w:r>
      <w:r>
        <w:rPr>
          <w:color w:val="auto"/>
          <w:highlight w:val="none"/>
        </w:rPr>
        <w:t>钢筋埋入的长度</w:t>
      </w:r>
      <w:r>
        <w:rPr>
          <w:rFonts w:hint="eastAsia"/>
          <w:color w:val="auto"/>
          <w:highlight w:val="none"/>
        </w:rPr>
        <w:t>（</w:t>
      </w:r>
      <w:r>
        <w:rPr>
          <w:color w:val="auto"/>
          <w:highlight w:val="none"/>
        </w:rPr>
        <w:t>mm</w:t>
      </w:r>
      <w:r>
        <w:rPr>
          <w:rFonts w:hint="eastAsia"/>
          <w:color w:val="auto"/>
          <w:highlight w:val="none"/>
        </w:rPr>
        <w:t>）；</w:t>
      </w:r>
      <w:bookmarkEnd w:id="92"/>
    </w:p>
    <w:p w14:paraId="247F0BE2">
      <w:pPr>
        <w:kinsoku/>
        <w:overflowPunct/>
        <w:bidi w:val="0"/>
        <w:spacing w:before="156" w:beforeLines="50" w:line="360" w:lineRule="auto"/>
        <w:ind w:firstLine="315" w:firstLineChars="150"/>
        <w:rPr>
          <w:bCs/>
          <w:color w:val="auto"/>
          <w:highlight w:val="none"/>
        </w:rPr>
      </w:pPr>
      <w:bookmarkStart w:id="93" w:name="_Toc477762541"/>
      <w:r>
        <w:rPr>
          <w:bCs/>
          <w:color w:val="auto"/>
          <w:highlight w:val="none"/>
        </w:rPr>
        <w:t>3</w:t>
      </w:r>
      <w:r>
        <w:rPr>
          <w:rFonts w:hint="eastAsia"/>
          <w:bCs/>
          <w:color w:val="auto"/>
          <w:highlight w:val="none"/>
        </w:rPr>
        <w:t xml:space="preserve"> </w:t>
      </w:r>
      <w:r>
        <w:rPr>
          <w:bCs/>
          <w:color w:val="auto"/>
          <w:highlight w:val="none"/>
        </w:rPr>
        <w:t>当采用光面钢筋时，可取六个试件拔出试验时最大荷载的平均值除以埋入</w:t>
      </w:r>
      <w:r>
        <w:rPr>
          <w:rFonts w:hint="eastAsia"/>
          <w:bCs/>
          <w:color w:val="auto"/>
          <w:highlight w:val="none"/>
        </w:rPr>
        <w:t>超高性能</w:t>
      </w:r>
      <w:r>
        <w:rPr>
          <w:bCs/>
          <w:color w:val="auto"/>
          <w:highlight w:val="none"/>
        </w:rPr>
        <w:t>混凝土中的钢筋表面积即得钢筋握裹强度</w:t>
      </w:r>
      <w:r>
        <w:rPr>
          <w:rFonts w:hint="eastAsia"/>
          <w:bCs/>
          <w:color w:val="auto"/>
          <w:highlight w:val="none"/>
        </w:rPr>
        <w:t>，应精确至0.1</w:t>
      </w:r>
      <w:r>
        <w:rPr>
          <w:bCs/>
          <w:color w:val="auto"/>
          <w:highlight w:val="none"/>
        </w:rPr>
        <w:t>MPa。</w:t>
      </w:r>
      <w:bookmarkEnd w:id="93"/>
    </w:p>
    <w:p w14:paraId="38F79214">
      <w:pPr>
        <w:kinsoku/>
        <w:overflowPunct/>
        <w:bidi w:val="0"/>
        <w:spacing w:before="156" w:beforeLines="50" w:line="360" w:lineRule="auto"/>
        <w:ind w:firstLine="315" w:firstLineChars="150"/>
        <w:rPr>
          <w:bCs/>
          <w:color w:val="auto"/>
          <w:highlight w:val="none"/>
        </w:rPr>
      </w:pPr>
      <w:bookmarkStart w:id="94" w:name="_Toc477762542"/>
      <w:r>
        <w:rPr>
          <w:bCs/>
          <w:color w:val="auto"/>
          <w:highlight w:val="none"/>
        </w:rPr>
        <w:t>4</w:t>
      </w:r>
      <w:r>
        <w:rPr>
          <w:rFonts w:hint="eastAsia"/>
          <w:bCs/>
          <w:color w:val="auto"/>
          <w:highlight w:val="none"/>
        </w:rPr>
        <w:t xml:space="preserve"> </w:t>
      </w:r>
      <w:r>
        <w:rPr>
          <w:bCs/>
          <w:color w:val="auto"/>
          <w:szCs w:val="21"/>
          <w:highlight w:val="none"/>
        </w:rPr>
        <w:t>光面钢筋</w:t>
      </w:r>
      <w:r>
        <w:rPr>
          <w:bCs/>
          <w:color w:val="auto"/>
          <w:highlight w:val="none"/>
        </w:rPr>
        <w:t>拔出试验可绘出荷载</w:t>
      </w:r>
      <w:r>
        <w:rPr>
          <w:rFonts w:hint="eastAsia"/>
          <w:bCs/>
          <w:color w:val="auto"/>
          <w:highlight w:val="none"/>
        </w:rPr>
        <w:t>-</w:t>
      </w:r>
      <w:r>
        <w:rPr>
          <w:bCs/>
          <w:color w:val="auto"/>
          <w:highlight w:val="none"/>
        </w:rPr>
        <w:t>滑动变形关系曲线供分析。</w:t>
      </w:r>
      <w:bookmarkEnd w:id="94"/>
    </w:p>
    <w:p w14:paraId="0EC9A99F">
      <w:pPr>
        <w:kinsoku/>
        <w:overflowPunct/>
        <w:bidi w:val="0"/>
        <w:spacing w:before="156" w:beforeLines="50" w:line="360" w:lineRule="auto"/>
        <w:ind w:firstLine="315" w:firstLineChars="150"/>
        <w:rPr>
          <w:color w:val="auto"/>
          <w:highlight w:val="none"/>
        </w:rPr>
      </w:pPr>
      <w:bookmarkStart w:id="95" w:name="_Toc477762543"/>
      <w:r>
        <w:rPr>
          <w:bCs/>
          <w:color w:val="auto"/>
          <w:highlight w:val="none"/>
        </w:rPr>
        <w:t>5</w:t>
      </w:r>
      <w:r>
        <w:rPr>
          <w:rFonts w:hint="eastAsia"/>
          <w:bCs/>
          <w:color w:val="auto"/>
          <w:highlight w:val="none"/>
        </w:rPr>
        <w:t xml:space="preserve"> </w:t>
      </w:r>
      <w:r>
        <w:rPr>
          <w:bCs/>
          <w:color w:val="auto"/>
          <w:highlight w:val="none"/>
        </w:rPr>
        <w:t>采用</w:t>
      </w:r>
      <w:r>
        <w:rPr>
          <w:bCs/>
          <w:color w:val="auto"/>
          <w:szCs w:val="21"/>
          <w:highlight w:val="none"/>
        </w:rPr>
        <w:t>工程</w:t>
      </w:r>
      <w:r>
        <w:rPr>
          <w:color w:val="auto"/>
          <w:highlight w:val="none"/>
        </w:rPr>
        <w:t>中实际使用的其它钢筋时，应注明钢筋的类型、直径及</w:t>
      </w:r>
      <w:r>
        <w:rPr>
          <w:rFonts w:hint="eastAsia"/>
          <w:color w:val="auto"/>
          <w:highlight w:val="none"/>
          <w:lang w:eastAsia="zh"/>
          <w:woUserID w:val="3"/>
        </w:rPr>
        <w:t>超高性能</w:t>
      </w:r>
      <w:r>
        <w:rPr>
          <w:color w:val="auto"/>
          <w:highlight w:val="none"/>
        </w:rPr>
        <w:t>混凝土配合比等条件。</w:t>
      </w:r>
      <w:bookmarkEnd w:id="95"/>
    </w:p>
    <w:p w14:paraId="018A1848">
      <w:pPr>
        <w:kinsoku/>
        <w:overflowPunct/>
        <w:bidi w:val="0"/>
        <w:spacing w:before="156" w:beforeLines="50" w:line="360" w:lineRule="auto"/>
        <w:ind w:firstLine="315" w:firstLineChars="150"/>
        <w:rPr>
          <w:i/>
          <w:iCs/>
          <w:color w:val="auto"/>
          <w:highlight w:val="none"/>
        </w:rPr>
      </w:pPr>
    </w:p>
    <w:p w14:paraId="5C313989">
      <w:pPr>
        <w:pStyle w:val="65"/>
        <w:kinsoku/>
        <w:overflowPunct/>
        <w:bidi w:val="0"/>
        <w:spacing w:before="156" w:beforeLines="50" w:after="156" w:afterLines="50" w:line="360" w:lineRule="auto"/>
        <w:outlineLvl w:val="1"/>
        <w:rPr>
          <w:color w:val="auto"/>
          <w:highlight w:val="none"/>
        </w:rPr>
      </w:pPr>
      <w:bookmarkStart w:id="96" w:name="_Toc15406"/>
      <w:r>
        <w:rPr>
          <w:rFonts w:hint="eastAsia"/>
          <w:color w:val="auto"/>
          <w:highlight w:val="none"/>
        </w:rPr>
        <w:t>6.10 线膨胀系数试验</w:t>
      </w:r>
      <w:bookmarkEnd w:id="96"/>
    </w:p>
    <w:p w14:paraId="26D249FA">
      <w:pPr>
        <w:pStyle w:val="18"/>
        <w:kinsoku/>
        <w:overflowPunct/>
        <w:bidi w:val="0"/>
        <w:spacing w:before="156" w:line="360" w:lineRule="auto"/>
        <w:ind w:firstLine="0" w:firstLineChars="0"/>
        <w:rPr>
          <w:bCs/>
          <w:color w:val="auto"/>
          <w:highlight w:val="none"/>
        </w:rPr>
      </w:pPr>
      <w:r>
        <w:rPr>
          <w:bCs/>
          <w:color w:val="auto"/>
          <w:highlight w:val="none"/>
        </w:rPr>
        <w:t xml:space="preserve">6.10.1 </w:t>
      </w:r>
      <w:r>
        <w:rPr>
          <w:rFonts w:hint="eastAsia"/>
          <w:bCs/>
          <w:color w:val="auto"/>
          <w:highlight w:val="none"/>
        </w:rPr>
        <w:t>试验仪器设备应符合下列规定：</w:t>
      </w:r>
    </w:p>
    <w:p w14:paraId="6C6CCFAA">
      <w:pPr>
        <w:kinsoku/>
        <w:overflowPunct/>
        <w:bidi w:val="0"/>
        <w:spacing w:before="156" w:beforeLines="50" w:line="360" w:lineRule="auto"/>
        <w:ind w:firstLine="315" w:firstLineChars="150"/>
        <w:rPr>
          <w:bCs/>
          <w:color w:val="auto"/>
          <w:highlight w:val="none"/>
        </w:rPr>
      </w:pPr>
      <w:r>
        <w:rPr>
          <w:bCs/>
          <w:color w:val="auto"/>
          <w:highlight w:val="none"/>
        </w:rPr>
        <w:t>1</w:t>
      </w:r>
      <w:r>
        <w:rPr>
          <w:rFonts w:hint="eastAsia"/>
          <w:bCs/>
          <w:color w:val="auto"/>
          <w:highlight w:val="none"/>
        </w:rPr>
        <w:t xml:space="preserve"> 带有</w:t>
      </w:r>
      <w:r>
        <w:rPr>
          <w:rFonts w:hint="eastAsia"/>
          <w:bCs/>
          <w:color w:val="auto"/>
          <w:szCs w:val="21"/>
          <w:highlight w:val="none"/>
        </w:rPr>
        <w:t>搅拌器</w:t>
      </w:r>
      <w:r>
        <w:rPr>
          <w:rFonts w:hint="eastAsia"/>
          <w:bCs/>
          <w:color w:val="auto"/>
          <w:highlight w:val="none"/>
        </w:rPr>
        <w:t>的自动控制恒温水箱，大小应视一次试验试件的多少而定。要求箱内水面没过试件筒顶50mm左右，温度控制精度应在0.5℃以内。</w:t>
      </w:r>
    </w:p>
    <w:p w14:paraId="2567906A">
      <w:pPr>
        <w:kinsoku/>
        <w:overflowPunct/>
        <w:bidi w:val="0"/>
        <w:spacing w:before="156" w:beforeLines="50" w:line="360" w:lineRule="auto"/>
        <w:ind w:firstLine="315" w:firstLineChars="150"/>
        <w:rPr>
          <w:bCs/>
          <w:color w:val="auto"/>
          <w:highlight w:val="none"/>
        </w:rPr>
      </w:pPr>
      <w:r>
        <w:rPr>
          <w:bCs/>
          <w:color w:val="auto"/>
          <w:highlight w:val="none"/>
        </w:rPr>
        <w:t xml:space="preserve">2 </w:t>
      </w:r>
      <w:r>
        <w:rPr>
          <w:rFonts w:hint="eastAsia"/>
          <w:bCs/>
          <w:color w:val="auto"/>
          <w:highlight w:val="none"/>
        </w:rPr>
        <w:t>量测仪器：差动式电阻应变计，测距250mm；数字电桥；长杆温度计，测温范围应为0℃～100℃，精度应为0.1℃。</w:t>
      </w:r>
    </w:p>
    <w:p w14:paraId="111BFC77">
      <w:pPr>
        <w:kinsoku/>
        <w:overflowPunct/>
        <w:bidi w:val="0"/>
        <w:spacing w:before="156" w:beforeLines="50" w:line="360" w:lineRule="auto"/>
        <w:ind w:firstLine="315" w:firstLineChars="150"/>
        <w:rPr>
          <w:bCs/>
          <w:color w:val="auto"/>
          <w:highlight w:val="none"/>
        </w:rPr>
      </w:pPr>
      <w:r>
        <w:rPr>
          <w:bCs/>
          <w:color w:val="auto"/>
          <w:highlight w:val="none"/>
        </w:rPr>
        <w:t>3</w:t>
      </w:r>
      <w:r>
        <w:rPr>
          <w:rFonts w:hint="eastAsia"/>
          <w:bCs/>
          <w:color w:val="auto"/>
          <w:highlight w:val="none"/>
        </w:rPr>
        <w:t xml:space="preserve"> 试模应为</w:t>
      </w:r>
      <w:r>
        <w:rPr>
          <w:rFonts w:hint="eastAsia"/>
          <w:bCs/>
          <w:color w:val="auto"/>
          <w:szCs w:val="21"/>
          <w:highlight w:val="none"/>
        </w:rPr>
        <w:t>直径</w:t>
      </w:r>
      <w:r>
        <w:rPr>
          <w:rFonts w:hint="eastAsia"/>
          <w:bCs/>
          <w:color w:val="auto"/>
          <w:highlight w:val="none"/>
        </w:rPr>
        <w:t>200mm，高500mm的带盖白铁皮筒。</w:t>
      </w:r>
    </w:p>
    <w:p w14:paraId="79B11F6B">
      <w:pPr>
        <w:kinsoku/>
        <w:overflowPunct/>
        <w:bidi w:val="0"/>
        <w:spacing w:before="156" w:beforeLines="50" w:line="360" w:lineRule="auto"/>
        <w:ind w:firstLine="315" w:firstLineChars="150"/>
        <w:rPr>
          <w:bCs/>
          <w:color w:val="auto"/>
          <w:highlight w:val="none"/>
        </w:rPr>
      </w:pPr>
      <w:r>
        <w:rPr>
          <w:bCs/>
          <w:color w:val="auto"/>
          <w:highlight w:val="none"/>
        </w:rPr>
        <w:t>4</w:t>
      </w:r>
      <w:r>
        <w:rPr>
          <w:rFonts w:hint="eastAsia"/>
          <w:bCs/>
          <w:color w:val="auto"/>
          <w:highlight w:val="none"/>
        </w:rPr>
        <w:t xml:space="preserve"> 另外应有2mm～3mm厚的橡皮板或0.3mm~0.5mm沥青隔离层、胶布等。</w:t>
      </w:r>
    </w:p>
    <w:p w14:paraId="1B0F42EF">
      <w:pPr>
        <w:pStyle w:val="18"/>
        <w:kinsoku/>
        <w:overflowPunct/>
        <w:bidi w:val="0"/>
        <w:spacing w:before="156" w:line="360" w:lineRule="auto"/>
        <w:ind w:firstLine="0" w:firstLineChars="0"/>
        <w:rPr>
          <w:bCs/>
          <w:color w:val="auto"/>
          <w:highlight w:val="none"/>
        </w:rPr>
      </w:pPr>
      <w:r>
        <w:rPr>
          <w:bCs/>
          <w:color w:val="auto"/>
          <w:highlight w:val="none"/>
        </w:rPr>
        <w:t>6.10.2</w:t>
      </w:r>
      <w:r>
        <w:rPr>
          <w:rFonts w:hint="eastAsia"/>
          <w:bCs/>
          <w:color w:val="auto"/>
          <w:highlight w:val="none"/>
        </w:rPr>
        <w:t xml:space="preserve"> 超高性能混凝土线膨胀系数试验应按下列步骤进行：</w:t>
      </w:r>
    </w:p>
    <w:p w14:paraId="3387966E">
      <w:pPr>
        <w:kinsoku/>
        <w:overflowPunct/>
        <w:bidi w:val="0"/>
        <w:spacing w:before="156" w:beforeLines="50" w:line="360" w:lineRule="auto"/>
        <w:ind w:firstLine="315" w:firstLineChars="150"/>
        <w:rPr>
          <w:bCs/>
          <w:color w:val="auto"/>
          <w:highlight w:val="none"/>
        </w:rPr>
      </w:pPr>
      <w:r>
        <w:rPr>
          <w:bCs/>
          <w:color w:val="auto"/>
          <w:highlight w:val="none"/>
        </w:rPr>
        <w:t>1</w:t>
      </w:r>
      <w:r>
        <w:rPr>
          <w:rFonts w:hint="eastAsia"/>
          <w:bCs/>
          <w:color w:val="auto"/>
          <w:highlight w:val="none"/>
        </w:rPr>
        <w:t xml:space="preserve"> 应检查和率定应变计。</w:t>
      </w:r>
    </w:p>
    <w:p w14:paraId="73A2B800">
      <w:pPr>
        <w:kinsoku/>
        <w:overflowPunct/>
        <w:bidi w:val="0"/>
        <w:spacing w:before="156" w:beforeLines="50" w:line="360" w:lineRule="auto"/>
        <w:ind w:firstLine="315" w:firstLineChars="150"/>
        <w:rPr>
          <w:bCs/>
          <w:color w:val="auto"/>
          <w:highlight w:val="none"/>
        </w:rPr>
      </w:pPr>
      <w:r>
        <w:rPr>
          <w:bCs/>
          <w:color w:val="auto"/>
          <w:highlight w:val="none"/>
        </w:rPr>
        <w:t>2</w:t>
      </w:r>
      <w:r>
        <w:rPr>
          <w:rFonts w:hint="eastAsia"/>
          <w:bCs/>
          <w:color w:val="auto"/>
          <w:highlight w:val="none"/>
        </w:rPr>
        <w:t xml:space="preserve"> 密封试件桶应不渗水不透气。在密封桶内壁衬一层厚2mm~3mm橡皮板或涂抹一层厚0.3mm~0.5mm</w:t>
      </w:r>
      <w:r>
        <w:rPr>
          <w:rFonts w:hint="eastAsia"/>
          <w:bCs/>
          <w:color w:val="auto"/>
          <w:szCs w:val="21"/>
          <w:highlight w:val="none"/>
        </w:rPr>
        <w:t>沥青</w:t>
      </w:r>
      <w:r>
        <w:rPr>
          <w:rFonts w:hint="eastAsia"/>
          <w:bCs/>
          <w:color w:val="auto"/>
          <w:highlight w:val="none"/>
        </w:rPr>
        <w:t>隔离层。</w:t>
      </w:r>
    </w:p>
    <w:p w14:paraId="4479C120">
      <w:pPr>
        <w:kinsoku/>
        <w:overflowPunct/>
        <w:bidi w:val="0"/>
        <w:spacing w:before="156" w:beforeLines="50" w:line="360" w:lineRule="auto"/>
        <w:ind w:firstLine="315" w:firstLineChars="150"/>
        <w:rPr>
          <w:bCs/>
          <w:color w:val="auto"/>
          <w:highlight w:val="none"/>
        </w:rPr>
      </w:pPr>
      <w:r>
        <w:rPr>
          <w:bCs/>
          <w:color w:val="auto"/>
          <w:highlight w:val="none"/>
        </w:rPr>
        <w:t>3</w:t>
      </w:r>
      <w:r>
        <w:rPr>
          <w:rFonts w:hint="eastAsia"/>
          <w:bCs/>
          <w:color w:val="auto"/>
          <w:highlight w:val="none"/>
        </w:rPr>
        <w:t xml:space="preserve"> 将应变计</w:t>
      </w:r>
      <w:r>
        <w:rPr>
          <w:rFonts w:hint="eastAsia"/>
          <w:bCs/>
          <w:color w:val="auto"/>
          <w:szCs w:val="21"/>
          <w:highlight w:val="none"/>
        </w:rPr>
        <w:t>垂直</w:t>
      </w:r>
      <w:r>
        <w:rPr>
          <w:rFonts w:hint="eastAsia"/>
          <w:bCs/>
          <w:color w:val="auto"/>
          <w:highlight w:val="none"/>
        </w:rPr>
        <w:t>固定在试件桶中心，如图6.10.2所示，并注意在成型时不应使应变计损坏。</w:t>
      </w:r>
    </w:p>
    <w:p w14:paraId="0DF2BC79">
      <w:pPr>
        <w:kinsoku/>
        <w:overflowPunct/>
        <w:bidi w:val="0"/>
        <w:spacing w:before="156" w:beforeLines="50" w:line="360" w:lineRule="auto"/>
        <w:ind w:firstLine="315" w:firstLineChars="150"/>
        <w:rPr>
          <w:bCs/>
          <w:color w:val="auto"/>
          <w:highlight w:val="none"/>
        </w:rPr>
      </w:pPr>
      <w:r>
        <w:rPr>
          <w:bCs/>
          <w:color w:val="auto"/>
          <w:highlight w:val="none"/>
        </w:rPr>
        <w:t>4</w:t>
      </w:r>
      <w:r>
        <w:rPr>
          <w:rFonts w:hint="eastAsia"/>
          <w:bCs/>
          <w:color w:val="auto"/>
          <w:highlight w:val="none"/>
        </w:rPr>
        <w:t xml:space="preserve"> 成型试件前、后，量测应变计的电阻及电阻比，作好记录。</w:t>
      </w:r>
    </w:p>
    <w:p w14:paraId="34352B40">
      <w:pPr>
        <w:kinsoku/>
        <w:overflowPunct/>
        <w:bidi w:val="0"/>
        <w:spacing w:before="156" w:beforeLines="50" w:line="360" w:lineRule="auto"/>
        <w:ind w:firstLine="315" w:firstLineChars="150"/>
        <w:rPr>
          <w:bCs/>
          <w:color w:val="auto"/>
          <w:highlight w:val="none"/>
        </w:rPr>
      </w:pPr>
      <w:r>
        <w:rPr>
          <w:bCs/>
          <w:color w:val="auto"/>
          <w:highlight w:val="none"/>
        </w:rPr>
        <w:t>5</w:t>
      </w:r>
      <w:r>
        <w:rPr>
          <w:rFonts w:hint="eastAsia"/>
          <w:bCs/>
          <w:color w:val="auto"/>
          <w:highlight w:val="none"/>
        </w:rPr>
        <w:t xml:space="preserve"> 将超高性能</w:t>
      </w:r>
      <w:r>
        <w:rPr>
          <w:rFonts w:hint="eastAsia"/>
          <w:bCs/>
          <w:color w:val="auto"/>
          <w:szCs w:val="21"/>
          <w:highlight w:val="none"/>
        </w:rPr>
        <w:t>混凝土</w:t>
      </w:r>
      <w:r>
        <w:rPr>
          <w:rFonts w:hint="eastAsia"/>
          <w:bCs/>
          <w:color w:val="auto"/>
          <w:highlight w:val="none"/>
        </w:rPr>
        <w:t>拌合物</w:t>
      </w:r>
      <w:r>
        <w:rPr>
          <w:color w:val="auto"/>
          <w:kern w:val="0"/>
          <w:szCs w:val="20"/>
          <w:highlight w:val="none"/>
        </w:rPr>
        <w:t>一次性</w:t>
      </w:r>
      <w:r>
        <w:rPr>
          <w:rFonts w:hint="eastAsia"/>
          <w:bCs/>
          <w:color w:val="auto"/>
          <w:highlight w:val="none"/>
        </w:rPr>
        <w:t>装入密封桶内。</w:t>
      </w:r>
      <w:r>
        <w:rPr>
          <w:rFonts w:hint="eastAsia"/>
          <w:bCs/>
          <w:color w:val="auto"/>
          <w:highlight w:val="none"/>
          <w:lang w:val="en-US" w:eastAsia="zh-CN"/>
        </w:rPr>
        <w:t>超高性能混凝土扩展度小于650mm时，宜用振动台振实。</w:t>
      </w:r>
      <w:r>
        <w:rPr>
          <w:rFonts w:hint="eastAsia"/>
          <w:bCs/>
          <w:color w:val="auto"/>
          <w:highlight w:val="none"/>
        </w:rPr>
        <w:t>每组试件应为2个。</w:t>
      </w:r>
    </w:p>
    <w:p w14:paraId="76C9000D">
      <w:pPr>
        <w:kinsoku/>
        <w:overflowPunct/>
        <w:bidi w:val="0"/>
        <w:spacing w:before="156" w:beforeLines="50" w:line="360" w:lineRule="auto"/>
        <w:ind w:firstLine="315" w:firstLineChars="150"/>
        <w:rPr>
          <w:bCs/>
          <w:color w:val="auto"/>
          <w:highlight w:val="none"/>
        </w:rPr>
      </w:pPr>
      <w:r>
        <w:rPr>
          <w:bCs/>
          <w:color w:val="auto"/>
          <w:highlight w:val="none"/>
        </w:rPr>
        <w:t>6</w:t>
      </w:r>
      <w:r>
        <w:rPr>
          <w:rFonts w:hint="eastAsia"/>
          <w:bCs/>
          <w:color w:val="auto"/>
          <w:highlight w:val="none"/>
        </w:rPr>
        <w:t xml:space="preserve"> 试件成型后，应尽快将密封桶的盖板紧贴试件端部盖好，周边及应变计电缆出口处应密封，以防止试件水分散失，并应放置于温度为</w:t>
      </w:r>
      <w:r>
        <w:rPr>
          <w:bCs/>
          <w:color w:val="auto"/>
          <w:highlight w:val="none"/>
        </w:rPr>
        <w:t>20</w:t>
      </w:r>
      <w:r>
        <w:rPr>
          <w:rFonts w:hint="eastAsia" w:hAnsi="宋体"/>
          <w:bCs/>
          <w:color w:val="auto"/>
          <w:highlight w:val="none"/>
        </w:rPr>
        <w:t>℃</w:t>
      </w:r>
      <w:r>
        <w:rPr>
          <w:rFonts w:hint="eastAsia"/>
          <w:bCs/>
          <w:color w:val="auto"/>
          <w:highlight w:val="none"/>
        </w:rPr>
        <w:t>±</w:t>
      </w:r>
      <w:r>
        <w:rPr>
          <w:bCs/>
          <w:color w:val="auto"/>
          <w:highlight w:val="none"/>
        </w:rPr>
        <w:t>2</w:t>
      </w:r>
      <w:r>
        <w:rPr>
          <w:rFonts w:hint="eastAsia" w:hAnsi="宋体"/>
          <w:bCs/>
          <w:color w:val="auto"/>
          <w:highlight w:val="none"/>
        </w:rPr>
        <w:t>℃的</w:t>
      </w:r>
      <w:r>
        <w:rPr>
          <w:rFonts w:hint="eastAsia"/>
          <w:bCs/>
          <w:color w:val="auto"/>
          <w:highlight w:val="none"/>
        </w:rPr>
        <w:t>室内。</w:t>
      </w:r>
    </w:p>
    <w:p w14:paraId="1813EFB5">
      <w:pPr>
        <w:kinsoku/>
        <w:overflowPunct/>
        <w:bidi w:val="0"/>
        <w:spacing w:before="156" w:beforeLines="50" w:line="360" w:lineRule="auto"/>
        <w:ind w:firstLine="315" w:firstLineChars="150"/>
        <w:rPr>
          <w:bCs/>
          <w:color w:val="auto"/>
          <w:highlight w:val="none"/>
        </w:rPr>
      </w:pPr>
      <w:r>
        <w:rPr>
          <w:bCs/>
          <w:color w:val="auto"/>
          <w:highlight w:val="none"/>
        </w:rPr>
        <w:t>7</w:t>
      </w:r>
      <w:r>
        <w:rPr>
          <w:rFonts w:hint="eastAsia"/>
          <w:bCs/>
          <w:color w:val="auto"/>
          <w:highlight w:val="none"/>
        </w:rPr>
        <w:t xml:space="preserve"> 将养护7d后的试件放入恒温水箱内，箱中水面应没过试件顶面50mm以上。水的起始温度可为10℃～20℃。</w:t>
      </w:r>
    </w:p>
    <w:p w14:paraId="4FDFA554">
      <w:pPr>
        <w:kinsoku/>
        <w:overflowPunct/>
        <w:bidi w:val="0"/>
        <w:spacing w:before="156" w:beforeLines="50" w:line="360" w:lineRule="auto"/>
        <w:ind w:firstLine="315" w:firstLineChars="150"/>
        <w:rPr>
          <w:color w:val="auto"/>
          <w:highlight w:val="none"/>
        </w:rPr>
      </w:pPr>
      <w:r>
        <w:rPr>
          <w:bCs/>
          <w:color w:val="auto"/>
          <w:highlight w:val="none"/>
        </w:rPr>
        <w:t>8</w:t>
      </w:r>
      <w:r>
        <w:rPr>
          <w:rFonts w:hint="eastAsia"/>
          <w:bCs/>
          <w:color w:val="auto"/>
          <w:highlight w:val="none"/>
        </w:rPr>
        <w:t xml:space="preserve"> 应控制水温</w:t>
      </w:r>
      <w:r>
        <w:rPr>
          <w:rFonts w:hint="eastAsia"/>
          <w:color w:val="auto"/>
          <w:highlight w:val="none"/>
        </w:rPr>
        <w:t>使其恒定，相隔</w:t>
      </w:r>
      <w:r>
        <w:rPr>
          <w:color w:val="auto"/>
          <w:highlight w:val="none"/>
        </w:rPr>
        <w:t>1h</w:t>
      </w:r>
      <w:r>
        <w:rPr>
          <w:rFonts w:hint="eastAsia"/>
          <w:color w:val="auto"/>
          <w:highlight w:val="none"/>
        </w:rPr>
        <w:t>温差不应超过</w:t>
      </w:r>
      <w:r>
        <w:rPr>
          <w:color w:val="auto"/>
          <w:highlight w:val="none"/>
        </w:rPr>
        <w:t>0.1</w:t>
      </w:r>
      <w:r>
        <w:rPr>
          <w:rFonts w:hint="eastAsia"/>
          <w:color w:val="auto"/>
          <w:highlight w:val="none"/>
        </w:rPr>
        <w:t>℃。量测应变计的电阻和电阻比，并用温度计测读水温。当试件中心温度与水温一致时记下读数，即为试验初始温度的测值。为使箱中的水温均匀，应经常开动搅拌器。</w:t>
      </w:r>
    </w:p>
    <w:p w14:paraId="51D678A8">
      <w:pPr>
        <w:kinsoku/>
        <w:overflowPunct/>
        <w:bidi w:val="0"/>
        <w:spacing w:before="156" w:beforeLines="50" w:line="360" w:lineRule="auto"/>
        <w:ind w:firstLine="315" w:firstLineChars="150"/>
        <w:rPr>
          <w:color w:val="auto"/>
          <w:highlight w:val="none"/>
        </w:rPr>
      </w:pPr>
      <w:r>
        <w:rPr>
          <w:bCs/>
          <w:color w:val="auto"/>
          <w:highlight w:val="none"/>
        </w:rPr>
        <w:t>9</w:t>
      </w:r>
      <w:r>
        <w:rPr>
          <w:rFonts w:hint="eastAsia"/>
          <w:bCs/>
          <w:color w:val="auto"/>
          <w:highlight w:val="none"/>
        </w:rPr>
        <w:t xml:space="preserve"> 调整恒温箱</w:t>
      </w:r>
      <w:r>
        <w:rPr>
          <w:rFonts w:hint="eastAsia"/>
          <w:bCs/>
          <w:color w:val="auto"/>
          <w:szCs w:val="21"/>
          <w:highlight w:val="none"/>
        </w:rPr>
        <w:t>温度控制器</w:t>
      </w:r>
      <w:r>
        <w:rPr>
          <w:rFonts w:hint="eastAsia"/>
          <w:bCs/>
          <w:color w:val="auto"/>
          <w:highlight w:val="none"/>
        </w:rPr>
        <w:t>，使水温上升到60℃左右，恒温后记下试件中心温度与水温一致时的电阻、电阻比和水温，</w:t>
      </w:r>
      <w:r>
        <w:rPr>
          <w:rFonts w:hint="eastAsia"/>
          <w:color w:val="auto"/>
          <w:highlight w:val="none"/>
        </w:rPr>
        <w:t>即为试验终止时的测值。</w:t>
      </w:r>
    </w:p>
    <w:p w14:paraId="2BDFA983">
      <w:pPr>
        <w:pStyle w:val="18"/>
        <w:kinsoku/>
        <w:overflowPunct/>
        <w:bidi w:val="0"/>
        <w:spacing w:before="156" w:line="360" w:lineRule="auto"/>
        <w:ind w:firstLine="420"/>
        <w:jc w:val="center"/>
        <w:rPr>
          <w:b/>
          <w:bCs/>
          <w:color w:val="auto"/>
          <w:highlight w:val="none"/>
        </w:rPr>
      </w:pPr>
      <w:r>
        <w:rPr>
          <w:color w:val="auto"/>
          <w:highlight w:val="none"/>
        </w:rPr>
        <w:drawing>
          <wp:inline distT="0" distB="0" distL="114300" distR="114300">
            <wp:extent cx="1341755" cy="3091180"/>
            <wp:effectExtent l="0" t="0" r="0" b="7620"/>
            <wp:docPr id="9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8"/>
                    <pic:cNvPicPr>
                      <a:picLocks noChangeAspect="1"/>
                    </pic:cNvPicPr>
                  </pic:nvPicPr>
                  <pic:blipFill>
                    <a:blip r:embed="rId126"/>
                    <a:stretch>
                      <a:fillRect/>
                    </a:stretch>
                  </pic:blipFill>
                  <pic:spPr>
                    <a:xfrm>
                      <a:off x="0" y="0"/>
                      <a:ext cx="1341755" cy="3091180"/>
                    </a:xfrm>
                    <a:prstGeom prst="rect">
                      <a:avLst/>
                    </a:prstGeom>
                    <a:noFill/>
                    <a:ln w="9525">
                      <a:noFill/>
                    </a:ln>
                  </pic:spPr>
                </pic:pic>
              </a:graphicData>
            </a:graphic>
          </wp:inline>
        </w:drawing>
      </w:r>
    </w:p>
    <w:p w14:paraId="3E76D052">
      <w:pPr>
        <w:pStyle w:val="18"/>
        <w:kinsoku/>
        <w:overflowPunct/>
        <w:bidi w:val="0"/>
        <w:spacing w:before="156" w:line="360" w:lineRule="auto"/>
        <w:ind w:firstLine="420"/>
        <w:jc w:val="center"/>
        <w:rPr>
          <w:color w:val="auto"/>
          <w:highlight w:val="none"/>
        </w:rPr>
      </w:pPr>
      <w:r>
        <w:rPr>
          <w:rFonts w:hint="eastAsia"/>
          <w:color w:val="auto"/>
          <w:highlight w:val="none"/>
        </w:rPr>
        <w:t>图6.10.2 应变计安装示意图</w:t>
      </w:r>
    </w:p>
    <w:p w14:paraId="6F22A96F">
      <w:pPr>
        <w:pStyle w:val="18"/>
        <w:kinsoku/>
        <w:overflowPunct/>
        <w:bidi w:val="0"/>
        <w:spacing w:before="156" w:line="360" w:lineRule="auto"/>
        <w:ind w:firstLine="360"/>
        <w:jc w:val="center"/>
        <w:rPr>
          <w:color w:val="auto"/>
          <w:highlight w:val="none"/>
        </w:rPr>
      </w:pPr>
      <w:r>
        <w:rPr>
          <w:rFonts w:hint="eastAsia"/>
          <w:color w:val="auto"/>
          <w:sz w:val="18"/>
          <w:szCs w:val="18"/>
          <w:highlight w:val="none"/>
        </w:rPr>
        <w:t>1-电缆；2-24号铅丝；3-应变计；4-铁模</w:t>
      </w:r>
    </w:p>
    <w:p w14:paraId="1FCB0AC0">
      <w:pPr>
        <w:pStyle w:val="18"/>
        <w:kinsoku/>
        <w:overflowPunct/>
        <w:bidi w:val="0"/>
        <w:spacing w:before="156" w:line="360" w:lineRule="auto"/>
        <w:ind w:firstLine="0" w:firstLineChars="0"/>
        <w:rPr>
          <w:bCs/>
          <w:color w:val="auto"/>
          <w:highlight w:val="none"/>
        </w:rPr>
      </w:pPr>
      <w:r>
        <w:rPr>
          <w:bCs/>
          <w:color w:val="auto"/>
          <w:highlight w:val="none"/>
        </w:rPr>
        <w:t xml:space="preserve">6.10.3 </w:t>
      </w:r>
      <w:r>
        <w:rPr>
          <w:rFonts w:hint="eastAsia"/>
          <w:bCs/>
          <w:color w:val="auto"/>
          <w:highlight w:val="none"/>
        </w:rPr>
        <w:t>试验结果计算及确定应按下列方法进行：</w:t>
      </w:r>
    </w:p>
    <w:p w14:paraId="4B68324E">
      <w:pPr>
        <w:kinsoku/>
        <w:overflowPunct/>
        <w:bidi w:val="0"/>
        <w:spacing w:before="156" w:beforeLines="50" w:line="360" w:lineRule="auto"/>
        <w:ind w:firstLine="315" w:firstLineChars="150"/>
        <w:rPr>
          <w:bCs/>
          <w:color w:val="auto"/>
          <w:highlight w:val="none"/>
        </w:rPr>
      </w:pPr>
      <w:r>
        <w:rPr>
          <w:bCs/>
          <w:color w:val="auto"/>
          <w:highlight w:val="none"/>
        </w:rPr>
        <w:t>1</w:t>
      </w:r>
      <w:r>
        <w:rPr>
          <w:rFonts w:hint="eastAsia"/>
          <w:bCs/>
          <w:color w:val="auto"/>
          <w:highlight w:val="none"/>
        </w:rPr>
        <w:t xml:space="preserve"> 试件的</w:t>
      </w:r>
      <w:r>
        <w:rPr>
          <w:rFonts w:hint="eastAsia"/>
          <w:bCs/>
          <w:color w:val="auto"/>
          <w:szCs w:val="21"/>
          <w:highlight w:val="none"/>
        </w:rPr>
        <w:t>中心</w:t>
      </w:r>
      <w:r>
        <w:rPr>
          <w:rFonts w:hint="eastAsia"/>
          <w:bCs/>
          <w:color w:val="auto"/>
          <w:highlight w:val="none"/>
        </w:rPr>
        <w:t>温度及应变值分别应按下列公式计算：</w:t>
      </w:r>
    </w:p>
    <w:p w14:paraId="775EA9E8">
      <w:pPr>
        <w:pStyle w:val="18"/>
        <w:kinsoku/>
        <w:overflowPunct/>
        <w:bidi w:val="0"/>
        <w:spacing w:before="156" w:line="360" w:lineRule="auto"/>
        <w:ind w:firstLine="420"/>
        <w:jc w:val="right"/>
        <w:rPr>
          <w:bCs/>
          <w:color w:val="auto"/>
          <w:highlight w:val="none"/>
        </w:rPr>
      </w:pPr>
      <w:r>
        <w:rPr>
          <w:rFonts w:hint="eastAsia"/>
          <w:bCs/>
          <w:i/>
          <w:iCs/>
          <w:color w:val="auto"/>
          <w:highlight w:val="none"/>
        </w:rPr>
        <w:t>θ</w:t>
      </w:r>
      <w:r>
        <w:rPr>
          <w:rFonts w:hint="eastAsia"/>
          <w:bCs/>
          <w:i/>
          <w:color w:val="auto"/>
          <w:highlight w:val="none"/>
        </w:rPr>
        <w:sym w:font="Symbol" w:char="F03D"/>
      </w:r>
      <w:r>
        <w:rPr>
          <w:bCs/>
          <w:i/>
          <w:iCs/>
          <w:color w:val="auto"/>
          <w:highlight w:val="none"/>
        </w:rPr>
        <w:t>a</w:t>
      </w:r>
      <w:r>
        <w:rPr>
          <w:bCs/>
          <w:color w:val="auto"/>
          <w:highlight w:val="none"/>
        </w:rPr>
        <w:sym w:font="Symbol" w:char="F0A2"/>
      </w:r>
      <w:r>
        <w:rPr>
          <w:bCs/>
          <w:i/>
          <w:color w:val="auto"/>
          <w:highlight w:val="none"/>
        </w:rPr>
        <w:t>(</w:t>
      </w:r>
      <w:r>
        <w:rPr>
          <w:bCs/>
          <w:i/>
          <w:iCs/>
          <w:color w:val="auto"/>
          <w:highlight w:val="none"/>
        </w:rPr>
        <w:t>R</w:t>
      </w:r>
      <w:r>
        <w:rPr>
          <w:bCs/>
          <w:iCs/>
          <w:color w:val="auto"/>
          <w:highlight w:val="none"/>
          <w:vertAlign w:val="subscript"/>
        </w:rPr>
        <w:t>t</w:t>
      </w:r>
      <w:r>
        <w:rPr>
          <w:bCs/>
          <w:i/>
          <w:iCs/>
          <w:color w:val="auto"/>
          <w:highlight w:val="none"/>
          <w:vertAlign w:val="subscript"/>
        </w:rPr>
        <w:t xml:space="preserve"> </w:t>
      </w:r>
      <w:r>
        <w:rPr>
          <w:rFonts w:hint="eastAsia"/>
          <w:bCs/>
          <w:i/>
          <w:color w:val="auto"/>
          <w:highlight w:val="none"/>
        </w:rPr>
        <w:sym w:font="Symbol" w:char="F02D"/>
      </w:r>
      <w:r>
        <w:rPr>
          <w:bCs/>
          <w:i/>
          <w:iCs/>
          <w:color w:val="auto"/>
          <w:highlight w:val="none"/>
        </w:rPr>
        <w:t>R</w:t>
      </w:r>
      <w:r>
        <w:rPr>
          <w:bCs/>
          <w:color w:val="auto"/>
          <w:highlight w:val="none"/>
          <w:vertAlign w:val="subscript"/>
        </w:rPr>
        <w:t>0</w:t>
      </w:r>
      <w:r>
        <w:rPr>
          <w:rFonts w:hint="eastAsia"/>
          <w:bCs/>
          <w:i/>
          <w:color w:val="auto"/>
          <w:highlight w:val="none"/>
        </w:rPr>
        <w:t xml:space="preserve">) </w:t>
      </w:r>
      <w:r>
        <w:rPr>
          <w:rFonts w:hint="eastAsia"/>
          <w:bCs/>
          <w:color w:val="auto"/>
          <w:highlight w:val="none"/>
        </w:rPr>
        <w:t xml:space="preserve">                            （6.10.3-1）</w:t>
      </w:r>
    </w:p>
    <w:p w14:paraId="05A925BE">
      <w:pPr>
        <w:pStyle w:val="18"/>
        <w:kinsoku/>
        <w:overflowPunct/>
        <w:bidi w:val="0"/>
        <w:spacing w:before="156" w:line="360" w:lineRule="auto"/>
        <w:ind w:firstLine="420"/>
        <w:jc w:val="right"/>
        <w:rPr>
          <w:color w:val="auto"/>
          <w:highlight w:val="none"/>
        </w:rPr>
      </w:pPr>
      <w:r>
        <w:rPr>
          <w:rFonts w:hint="eastAsia"/>
          <w:i/>
          <w:color w:val="auto"/>
          <w:highlight w:val="none"/>
        </w:rPr>
        <w:sym w:font="Symbol" w:char="F065"/>
      </w:r>
      <w:r>
        <w:rPr>
          <w:i/>
          <w:iCs/>
          <w:color w:val="auto"/>
          <w:highlight w:val="none"/>
          <w:vertAlign w:val="subscript"/>
        </w:rPr>
        <w:t>m</w:t>
      </w:r>
      <w:r>
        <w:rPr>
          <w:rFonts w:hint="eastAsia"/>
          <w:i/>
          <w:color w:val="auto"/>
          <w:highlight w:val="none"/>
        </w:rPr>
        <w:sym w:font="Symbol" w:char="F03D"/>
      </w:r>
      <w:r>
        <w:rPr>
          <w:i/>
          <w:iCs/>
          <w:color w:val="auto"/>
          <w:highlight w:val="none"/>
        </w:rPr>
        <w:t>f</w:t>
      </w:r>
      <w:r>
        <w:rPr>
          <w:rFonts w:hint="eastAsia"/>
          <w:i/>
          <w:color w:val="auto"/>
          <w:highlight w:val="none"/>
        </w:rPr>
        <w:sym w:font="Symbol" w:char="F0A2"/>
      </w:r>
      <w:r>
        <w:rPr>
          <w:rFonts w:hint="eastAsia"/>
          <w:i/>
          <w:color w:val="auto"/>
          <w:highlight w:val="none"/>
        </w:rPr>
        <w:sym w:font="Symbol" w:char="F044"/>
      </w:r>
      <w:r>
        <w:rPr>
          <w:i/>
          <w:iCs/>
          <w:color w:val="auto"/>
          <w:highlight w:val="none"/>
        </w:rPr>
        <w:t xml:space="preserve">Z </w:t>
      </w:r>
      <w:r>
        <w:rPr>
          <w:rFonts w:hint="eastAsia"/>
          <w:i/>
          <w:color w:val="auto"/>
          <w:highlight w:val="none"/>
        </w:rPr>
        <w:sym w:font="Symbol" w:char="F02B"/>
      </w:r>
      <w:r>
        <w:rPr>
          <w:i/>
          <w:iCs/>
          <w:color w:val="auto"/>
          <w:highlight w:val="none"/>
        </w:rPr>
        <w:t>ba</w:t>
      </w:r>
      <w:r>
        <w:rPr>
          <w:color w:val="auto"/>
          <w:highlight w:val="none"/>
        </w:rPr>
        <w:sym w:font="Symbol" w:char="F0A2"/>
      </w:r>
      <w:r>
        <w:rPr>
          <w:i/>
          <w:color w:val="auto"/>
          <w:highlight w:val="none"/>
        </w:rPr>
        <w:t>(</w:t>
      </w:r>
      <w:r>
        <w:rPr>
          <w:i/>
          <w:iCs/>
          <w:color w:val="auto"/>
          <w:highlight w:val="none"/>
        </w:rPr>
        <w:t>R</w:t>
      </w:r>
      <w:r>
        <w:rPr>
          <w:iCs/>
          <w:color w:val="auto"/>
          <w:highlight w:val="none"/>
          <w:vertAlign w:val="subscript"/>
        </w:rPr>
        <w:t>t</w:t>
      </w:r>
      <w:r>
        <w:rPr>
          <w:rFonts w:hint="eastAsia"/>
          <w:i/>
          <w:color w:val="auto"/>
          <w:highlight w:val="none"/>
        </w:rPr>
        <w:sym w:font="Symbol" w:char="F02D"/>
      </w:r>
      <w:r>
        <w:rPr>
          <w:i/>
          <w:iCs/>
          <w:color w:val="auto"/>
          <w:highlight w:val="none"/>
        </w:rPr>
        <w:t>R</w:t>
      </w:r>
      <w:r>
        <w:rPr>
          <w:color w:val="auto"/>
          <w:highlight w:val="none"/>
          <w:vertAlign w:val="subscript"/>
        </w:rPr>
        <w:t>0</w:t>
      </w:r>
      <w:r>
        <w:rPr>
          <w:i/>
          <w:color w:val="auto"/>
          <w:highlight w:val="none"/>
        </w:rPr>
        <w:t xml:space="preserve"> )</w:t>
      </w:r>
      <w:r>
        <w:rPr>
          <w:rFonts w:hint="eastAsia"/>
          <w:color w:val="auto"/>
          <w:highlight w:val="none"/>
        </w:rPr>
        <w:t xml:space="preserve">                         （6.10.3-2）</w:t>
      </w:r>
    </w:p>
    <w:p w14:paraId="45199243">
      <w:pPr>
        <w:pStyle w:val="18"/>
        <w:kinsoku/>
        <w:overflowPunct/>
        <w:bidi w:val="0"/>
        <w:spacing w:before="156" w:line="360" w:lineRule="auto"/>
        <w:ind w:firstLine="0" w:firstLineChars="0"/>
        <w:rPr>
          <w:color w:val="auto"/>
          <w:highlight w:val="none"/>
        </w:rPr>
      </w:pPr>
      <w:r>
        <w:rPr>
          <w:rFonts w:hint="eastAsia"/>
          <w:color w:val="auto"/>
          <w:highlight w:val="none"/>
        </w:rPr>
        <w:t>式中：</w:t>
      </w:r>
      <w:r>
        <w:rPr>
          <w:rFonts w:hint="eastAsia" w:ascii="宋体" w:hAnsi="宋体"/>
          <w:i/>
          <w:iCs/>
          <w:color w:val="auto"/>
          <w:highlight w:val="none"/>
        </w:rPr>
        <w:t>θ</w:t>
      </w:r>
      <w:r>
        <w:rPr>
          <w:rFonts w:hint="eastAsia"/>
          <w:color w:val="auto"/>
          <w:highlight w:val="none"/>
        </w:rPr>
        <w:sym w:font="Symbol" w:char="F0BE"/>
      </w:r>
      <w:r>
        <w:rPr>
          <w:rFonts w:hint="eastAsia"/>
          <w:color w:val="auto"/>
          <w:highlight w:val="none"/>
        </w:rPr>
        <w:sym w:font="Symbol" w:char="F0BE"/>
      </w:r>
      <w:r>
        <w:rPr>
          <w:rFonts w:hint="eastAsia"/>
          <w:color w:val="auto"/>
          <w:highlight w:val="none"/>
        </w:rPr>
        <w:t>试件的中心温度（℃）；</w:t>
      </w:r>
    </w:p>
    <w:p w14:paraId="010CDC93">
      <w:pPr>
        <w:pStyle w:val="18"/>
        <w:kinsoku/>
        <w:overflowPunct/>
        <w:bidi w:val="0"/>
        <w:spacing w:before="156" w:line="360" w:lineRule="auto"/>
        <w:ind w:firstLine="619" w:firstLineChars="295"/>
        <w:rPr>
          <w:color w:val="auto"/>
          <w:highlight w:val="none"/>
        </w:rPr>
      </w:pPr>
      <w:r>
        <w:rPr>
          <w:i/>
          <w:iCs/>
          <w:color w:val="auto"/>
          <w:highlight w:val="none"/>
        </w:rPr>
        <w:t>ε</w:t>
      </w:r>
      <w:r>
        <w:rPr>
          <w:iCs/>
          <w:color w:val="auto"/>
          <w:highlight w:val="none"/>
          <w:vertAlign w:val="subscript"/>
        </w:rPr>
        <w:t>m</w:t>
      </w:r>
      <w:r>
        <w:rPr>
          <w:rFonts w:hint="eastAsia"/>
          <w:color w:val="auto"/>
          <w:highlight w:val="none"/>
        </w:rPr>
        <w:sym w:font="Symbol" w:char="F0BE"/>
      </w:r>
      <w:r>
        <w:rPr>
          <w:rFonts w:hint="eastAsia"/>
          <w:color w:val="auto"/>
          <w:highlight w:val="none"/>
        </w:rPr>
        <w:sym w:font="Symbol" w:char="F0BE"/>
      </w:r>
      <w:r>
        <w:rPr>
          <w:rFonts w:hint="eastAsia"/>
          <w:color w:val="auto"/>
          <w:highlight w:val="none"/>
        </w:rPr>
        <w:t>混凝土试件的应变值（10</w:t>
      </w:r>
      <w:r>
        <w:rPr>
          <w:rFonts w:hint="eastAsia"/>
          <w:color w:val="auto"/>
          <w:highlight w:val="none"/>
          <w:vertAlign w:val="superscript"/>
        </w:rPr>
        <w:t>-6</w:t>
      </w:r>
      <w:r>
        <w:rPr>
          <w:rFonts w:hint="eastAsia"/>
          <w:color w:val="auto"/>
          <w:highlight w:val="none"/>
        </w:rPr>
        <w:t>）；</w:t>
      </w:r>
    </w:p>
    <w:p w14:paraId="6576AAC6">
      <w:pPr>
        <w:pStyle w:val="18"/>
        <w:kinsoku/>
        <w:overflowPunct/>
        <w:bidi w:val="0"/>
        <w:spacing w:before="156" w:line="360" w:lineRule="auto"/>
        <w:ind w:firstLine="619" w:firstLineChars="295"/>
        <w:rPr>
          <w:color w:val="auto"/>
          <w:highlight w:val="none"/>
        </w:rPr>
      </w:pPr>
      <w:r>
        <w:rPr>
          <w:rFonts w:hint="eastAsia"/>
          <w:i/>
          <w:iCs/>
          <w:color w:val="auto"/>
          <w:highlight w:val="none"/>
        </w:rPr>
        <w:t>R</w:t>
      </w:r>
      <w:r>
        <w:rPr>
          <w:iCs/>
          <w:color w:val="auto"/>
          <w:highlight w:val="none"/>
          <w:vertAlign w:val="subscript"/>
        </w:rPr>
        <w:t>t</w:t>
      </w:r>
      <w:r>
        <w:rPr>
          <w:rFonts w:hint="eastAsia"/>
          <w:color w:val="auto"/>
          <w:highlight w:val="none"/>
        </w:rPr>
        <w:sym w:font="Symbol" w:char="F0BE"/>
      </w:r>
      <w:r>
        <w:rPr>
          <w:rFonts w:hint="eastAsia"/>
          <w:color w:val="auto"/>
          <w:highlight w:val="none"/>
        </w:rPr>
        <w:sym w:font="Symbol" w:char="F0BE"/>
      </w:r>
      <w:r>
        <w:rPr>
          <w:rFonts w:hint="eastAsia"/>
          <w:color w:val="auto"/>
          <w:highlight w:val="none"/>
        </w:rPr>
        <w:t>试验终止时应变计的电阻（</w:t>
      </w:r>
      <w:r>
        <w:rPr>
          <w:color w:val="auto"/>
          <w:highlight w:val="none"/>
        </w:rPr>
        <w:t>Ω</w:t>
      </w:r>
      <w:r>
        <w:rPr>
          <w:rFonts w:hint="eastAsia"/>
          <w:color w:val="auto"/>
          <w:highlight w:val="none"/>
        </w:rPr>
        <w:t>）；</w:t>
      </w:r>
    </w:p>
    <w:p w14:paraId="148250B0">
      <w:pPr>
        <w:pStyle w:val="18"/>
        <w:kinsoku/>
        <w:overflowPunct/>
        <w:bidi w:val="0"/>
        <w:spacing w:before="156" w:line="360" w:lineRule="auto"/>
        <w:ind w:firstLine="619" w:firstLineChars="295"/>
        <w:rPr>
          <w:color w:val="auto"/>
          <w:highlight w:val="none"/>
        </w:rPr>
      </w:pPr>
      <w:r>
        <w:rPr>
          <w:rFonts w:hint="eastAsia"/>
          <w:i/>
          <w:iCs/>
          <w:color w:val="auto"/>
          <w:highlight w:val="none"/>
        </w:rPr>
        <w:t>R</w:t>
      </w:r>
      <w:r>
        <w:rPr>
          <w:color w:val="auto"/>
          <w:highlight w:val="none"/>
          <w:vertAlign w:val="subscript"/>
        </w:rPr>
        <w:t>0</w:t>
      </w:r>
      <w:r>
        <w:rPr>
          <w:rFonts w:hint="eastAsia"/>
          <w:color w:val="auto"/>
          <w:highlight w:val="none"/>
        </w:rPr>
        <w:sym w:font="Symbol" w:char="F0BE"/>
      </w:r>
      <w:r>
        <w:rPr>
          <w:rFonts w:hint="eastAsia"/>
          <w:color w:val="auto"/>
          <w:highlight w:val="none"/>
        </w:rPr>
        <w:sym w:font="Symbol" w:char="F0BE"/>
      </w:r>
      <w:r>
        <w:rPr>
          <w:rFonts w:hint="eastAsia"/>
          <w:color w:val="auto"/>
          <w:highlight w:val="none"/>
        </w:rPr>
        <w:t>试验开始时应变计的电阻（</w:t>
      </w:r>
      <w:r>
        <w:rPr>
          <w:color w:val="auto"/>
          <w:highlight w:val="none"/>
        </w:rPr>
        <w:t>Ω</w:t>
      </w:r>
      <w:r>
        <w:rPr>
          <w:rFonts w:hint="eastAsia"/>
          <w:color w:val="auto"/>
          <w:highlight w:val="none"/>
        </w:rPr>
        <w:t>）；</w:t>
      </w:r>
    </w:p>
    <w:p w14:paraId="665E3E4F">
      <w:pPr>
        <w:pStyle w:val="18"/>
        <w:kinsoku/>
        <w:overflowPunct/>
        <w:bidi w:val="0"/>
        <w:spacing w:before="156" w:line="360" w:lineRule="auto"/>
        <w:ind w:firstLine="619" w:firstLineChars="295"/>
        <w:rPr>
          <w:color w:val="auto"/>
          <w:highlight w:val="none"/>
        </w:rPr>
      </w:pPr>
      <w:r>
        <w:rPr>
          <w:rFonts w:hint="eastAsia"/>
          <w:i/>
          <w:iCs/>
          <w:color w:val="auto"/>
          <w:highlight w:val="none"/>
        </w:rPr>
        <w:t>a</w:t>
      </w:r>
      <w:r>
        <w:rPr>
          <w:color w:val="auto"/>
          <w:highlight w:val="none"/>
        </w:rPr>
        <w:sym w:font="Symbol" w:char="F0A2"/>
      </w:r>
      <w:r>
        <w:rPr>
          <w:rFonts w:hint="eastAsia"/>
          <w:color w:val="auto"/>
          <w:highlight w:val="none"/>
        </w:rPr>
        <w:sym w:font="Symbol" w:char="F0BE"/>
      </w:r>
      <w:r>
        <w:rPr>
          <w:rFonts w:hint="eastAsia"/>
          <w:color w:val="auto"/>
          <w:highlight w:val="none"/>
        </w:rPr>
        <w:sym w:font="Symbol" w:char="F0BE"/>
      </w:r>
      <w:r>
        <w:rPr>
          <w:rFonts w:hint="eastAsia"/>
          <w:color w:val="auto"/>
          <w:highlight w:val="none"/>
        </w:rPr>
        <w:t>应变计温度灵敏度系数（℃</w:t>
      </w:r>
      <w:r>
        <w:rPr>
          <w:color w:val="auto"/>
          <w:highlight w:val="none"/>
        </w:rPr>
        <w:t>/Ω</w:t>
      </w:r>
      <w:r>
        <w:rPr>
          <w:rFonts w:hint="eastAsia"/>
          <w:color w:val="auto"/>
          <w:highlight w:val="none"/>
        </w:rPr>
        <w:t>）；</w:t>
      </w:r>
    </w:p>
    <w:p w14:paraId="48895CC0">
      <w:pPr>
        <w:pStyle w:val="18"/>
        <w:kinsoku/>
        <w:overflowPunct/>
        <w:bidi w:val="0"/>
        <w:spacing w:before="156" w:line="360" w:lineRule="auto"/>
        <w:ind w:firstLine="619" w:firstLineChars="295"/>
        <w:rPr>
          <w:color w:val="auto"/>
          <w:highlight w:val="none"/>
        </w:rPr>
      </w:pPr>
      <w:r>
        <w:rPr>
          <w:rFonts w:hint="eastAsia"/>
          <w:i/>
          <w:iCs/>
          <w:color w:val="auto"/>
          <w:highlight w:val="none"/>
        </w:rPr>
        <w:t>b</w:t>
      </w:r>
      <w:r>
        <w:rPr>
          <w:rFonts w:hint="eastAsia"/>
          <w:color w:val="auto"/>
          <w:highlight w:val="none"/>
        </w:rPr>
        <w:sym w:font="Symbol" w:char="F0BE"/>
      </w:r>
      <w:r>
        <w:rPr>
          <w:rFonts w:hint="eastAsia"/>
          <w:color w:val="auto"/>
          <w:highlight w:val="none"/>
        </w:rPr>
        <w:sym w:font="Symbol" w:char="F0BE"/>
      </w:r>
      <w:r>
        <w:rPr>
          <w:rFonts w:hint="eastAsia"/>
          <w:color w:val="auto"/>
          <w:highlight w:val="none"/>
        </w:rPr>
        <w:t>应变计温度补偿系数（10</w:t>
      </w:r>
      <w:r>
        <w:rPr>
          <w:rFonts w:hint="eastAsia"/>
          <w:color w:val="auto"/>
          <w:highlight w:val="none"/>
          <w:vertAlign w:val="superscript"/>
        </w:rPr>
        <w:t>-6</w:t>
      </w:r>
      <w:r>
        <w:rPr>
          <w:rFonts w:hint="eastAsia"/>
          <w:color w:val="auto"/>
          <w:highlight w:val="none"/>
        </w:rPr>
        <w:t>/℃）；</w:t>
      </w:r>
    </w:p>
    <w:p w14:paraId="58B81BD9">
      <w:pPr>
        <w:pStyle w:val="18"/>
        <w:kinsoku/>
        <w:overflowPunct/>
        <w:bidi w:val="0"/>
        <w:spacing w:before="156" w:line="360" w:lineRule="auto"/>
        <w:ind w:firstLine="619" w:firstLineChars="295"/>
        <w:rPr>
          <w:color w:val="auto"/>
          <w:highlight w:val="none"/>
        </w:rPr>
      </w:pPr>
      <w:r>
        <w:rPr>
          <w:rFonts w:hint="eastAsia"/>
          <w:i/>
          <w:iCs/>
          <w:color w:val="auto"/>
          <w:highlight w:val="none"/>
        </w:rPr>
        <w:t>f</w:t>
      </w:r>
      <w:r>
        <w:rPr>
          <w:rFonts w:hint="eastAsia"/>
          <w:i/>
          <w:color w:val="auto"/>
          <w:highlight w:val="none"/>
        </w:rPr>
        <w:sym w:font="Symbol" w:char="F0A2"/>
      </w:r>
      <w:r>
        <w:rPr>
          <w:rFonts w:hint="eastAsia"/>
          <w:color w:val="auto"/>
          <w:highlight w:val="none"/>
        </w:rPr>
        <w:sym w:font="Symbol" w:char="F0BE"/>
      </w:r>
      <w:r>
        <w:rPr>
          <w:rFonts w:hint="eastAsia"/>
          <w:color w:val="auto"/>
          <w:highlight w:val="none"/>
        </w:rPr>
        <w:sym w:font="Symbol" w:char="F0BE"/>
      </w:r>
      <w:r>
        <w:rPr>
          <w:rFonts w:hint="eastAsia"/>
          <w:color w:val="auto"/>
          <w:highlight w:val="none"/>
        </w:rPr>
        <w:t>应变计灵敏度（10</w:t>
      </w:r>
      <w:r>
        <w:rPr>
          <w:rFonts w:hint="eastAsia"/>
          <w:color w:val="auto"/>
          <w:highlight w:val="none"/>
          <w:vertAlign w:val="superscript"/>
        </w:rPr>
        <w:t>-6</w:t>
      </w:r>
      <w:r>
        <w:rPr>
          <w:rFonts w:hint="eastAsia"/>
          <w:color w:val="auto"/>
          <w:highlight w:val="none"/>
        </w:rPr>
        <w:t>/0.01%）；</w:t>
      </w:r>
    </w:p>
    <w:p w14:paraId="2A113577">
      <w:pPr>
        <w:pStyle w:val="18"/>
        <w:kinsoku/>
        <w:overflowPunct/>
        <w:bidi w:val="0"/>
        <w:spacing w:before="156" w:line="360" w:lineRule="auto"/>
        <w:ind w:firstLine="619" w:firstLineChars="295"/>
        <w:rPr>
          <w:color w:val="auto"/>
          <w:highlight w:val="none"/>
        </w:rPr>
      </w:pPr>
      <w:r>
        <w:rPr>
          <w:i/>
          <w:color w:val="auto"/>
          <w:highlight w:val="none"/>
        </w:rPr>
        <w:t>Δ</w:t>
      </w:r>
      <w:r>
        <w:rPr>
          <w:i/>
          <w:iCs/>
          <w:color w:val="auto"/>
          <w:highlight w:val="none"/>
        </w:rPr>
        <w:t>Z</w:t>
      </w:r>
      <w:r>
        <w:rPr>
          <w:rFonts w:hint="eastAsia"/>
          <w:color w:val="auto"/>
          <w:highlight w:val="none"/>
        </w:rPr>
        <w:sym w:font="Symbol" w:char="F0BE"/>
      </w:r>
      <w:r>
        <w:rPr>
          <w:rFonts w:hint="eastAsia"/>
          <w:color w:val="auto"/>
          <w:highlight w:val="none"/>
        </w:rPr>
        <w:sym w:font="Symbol" w:char="F0BE"/>
      </w:r>
      <w:r>
        <w:rPr>
          <w:rFonts w:hint="eastAsia"/>
          <w:color w:val="auto"/>
          <w:highlight w:val="none"/>
        </w:rPr>
        <w:t>电阻比变化量，即试验终止温度的电阻比与初始温度电阻比之差值。</w:t>
      </w:r>
    </w:p>
    <w:p w14:paraId="1FF61520">
      <w:pPr>
        <w:kinsoku/>
        <w:overflowPunct/>
        <w:bidi w:val="0"/>
        <w:spacing w:before="156" w:beforeLines="50" w:line="360" w:lineRule="auto"/>
        <w:ind w:firstLine="315" w:firstLineChars="150"/>
        <w:rPr>
          <w:color w:val="auto"/>
          <w:highlight w:val="none"/>
        </w:rPr>
      </w:pPr>
      <w:r>
        <w:rPr>
          <w:bCs/>
          <w:color w:val="auto"/>
          <w:highlight w:val="none"/>
        </w:rPr>
        <w:t>2</w:t>
      </w:r>
      <w:r>
        <w:rPr>
          <w:rFonts w:hint="eastAsia"/>
          <w:bCs/>
          <w:color w:val="auto"/>
          <w:highlight w:val="none"/>
        </w:rPr>
        <w:t xml:space="preserve"> 超高性能混凝土的线膨胀系数应按下式计算</w:t>
      </w:r>
      <w:r>
        <w:rPr>
          <w:rFonts w:hint="eastAsia"/>
          <w:color w:val="auto"/>
          <w:highlight w:val="none"/>
        </w:rPr>
        <w:t>：</w:t>
      </w:r>
    </w:p>
    <w:p w14:paraId="3E952A5E">
      <w:pPr>
        <w:pStyle w:val="18"/>
        <w:kinsoku/>
        <w:overflowPunct/>
        <w:bidi w:val="0"/>
        <w:spacing w:before="156" w:line="360" w:lineRule="auto"/>
        <w:ind w:firstLine="420"/>
        <w:jc w:val="right"/>
        <w:rPr>
          <w:color w:val="auto"/>
          <w:highlight w:val="none"/>
        </w:rPr>
      </w:pPr>
      <w:r>
        <w:rPr>
          <w:color w:val="auto"/>
          <w:position w:val="-24"/>
          <w:highlight w:val="none"/>
        </w:rPr>
        <w:object>
          <v:shape id="_x0000_i1071" o:spt="75" type="#_x0000_t75" style="height:29.95pt;width:42.05pt;" o:ole="t" filled="f" o:preferrelative="t" stroked="f" coordsize="21600,21600">
            <v:path/>
            <v:fill on="f" focussize="0,0"/>
            <v:stroke on="f" joinstyle="miter"/>
            <v:imagedata r:id="rId128" o:title=""/>
            <o:lock v:ext="edit" aspectratio="t"/>
            <w10:wrap type="none"/>
            <w10:anchorlock/>
          </v:shape>
          <o:OLEObject Type="Embed" ProgID="Equation.DSMT4" ShapeID="_x0000_i1071" DrawAspect="Content" ObjectID="_1468075771" r:id="rId127">
            <o:LockedField>false</o:LockedField>
          </o:OLEObject>
        </w:object>
      </w:r>
      <w:r>
        <w:rPr>
          <w:rFonts w:hint="eastAsia"/>
          <w:iCs/>
          <w:color w:val="auto"/>
          <w:highlight w:val="none"/>
        </w:rPr>
        <w:t xml:space="preserve">                                (6.10</w:t>
      </w:r>
      <w:r>
        <w:rPr>
          <w:rFonts w:hint="eastAsia"/>
          <w:color w:val="auto"/>
          <w:highlight w:val="none"/>
        </w:rPr>
        <w:t>.3-3）</w:t>
      </w:r>
    </w:p>
    <w:p w14:paraId="7B872565">
      <w:pPr>
        <w:pStyle w:val="18"/>
        <w:kinsoku/>
        <w:overflowPunct/>
        <w:bidi w:val="0"/>
        <w:spacing w:before="156" w:line="360" w:lineRule="auto"/>
        <w:ind w:firstLine="0" w:firstLineChars="0"/>
        <w:rPr>
          <w:color w:val="auto"/>
          <w:highlight w:val="none"/>
        </w:rPr>
      </w:pPr>
      <w:r>
        <w:rPr>
          <w:rFonts w:hint="eastAsia"/>
          <w:color w:val="auto"/>
          <w:highlight w:val="none"/>
        </w:rPr>
        <w:t xml:space="preserve">式中： </w:t>
      </w:r>
      <w:r>
        <w:rPr>
          <w:rFonts w:hint="eastAsia"/>
          <w:i/>
          <w:color w:val="auto"/>
          <w:highlight w:val="none"/>
        </w:rPr>
        <w:sym w:font="Symbol" w:char="F061"/>
      </w:r>
      <w:r>
        <w:rPr>
          <w:rFonts w:hint="eastAsia"/>
          <w:color w:val="auto"/>
          <w:highlight w:val="none"/>
        </w:rPr>
        <w:sym w:font="Symbol" w:char="F0BE"/>
      </w:r>
      <w:r>
        <w:rPr>
          <w:rFonts w:hint="eastAsia"/>
          <w:color w:val="auto"/>
          <w:highlight w:val="none"/>
        </w:rPr>
        <w:sym w:font="Symbol" w:char="F0BE"/>
      </w:r>
      <w:r>
        <w:rPr>
          <w:rFonts w:hint="eastAsia"/>
          <w:bCs/>
          <w:color w:val="auto"/>
          <w:highlight w:val="none"/>
        </w:rPr>
        <w:t>超高性能</w:t>
      </w:r>
      <w:r>
        <w:rPr>
          <w:rFonts w:hint="eastAsia"/>
          <w:color w:val="auto"/>
          <w:highlight w:val="none"/>
        </w:rPr>
        <w:t>混凝土线膨胀系数（10</w:t>
      </w:r>
      <w:r>
        <w:rPr>
          <w:rFonts w:hint="eastAsia"/>
          <w:color w:val="auto"/>
          <w:highlight w:val="none"/>
          <w:vertAlign w:val="superscript"/>
        </w:rPr>
        <w:t>-6</w:t>
      </w:r>
      <w:r>
        <w:rPr>
          <w:rFonts w:hint="eastAsia"/>
          <w:color w:val="auto"/>
          <w:highlight w:val="none"/>
        </w:rPr>
        <w:t>/℃），计算结果应精确至0.1×10</w:t>
      </w:r>
      <w:r>
        <w:rPr>
          <w:rFonts w:hint="eastAsia"/>
          <w:color w:val="auto"/>
          <w:highlight w:val="none"/>
          <w:vertAlign w:val="superscript"/>
        </w:rPr>
        <w:t>-6</w:t>
      </w:r>
      <w:r>
        <w:rPr>
          <w:rFonts w:hint="eastAsia"/>
          <w:color w:val="auto"/>
          <w:highlight w:val="none"/>
        </w:rPr>
        <w:t>；</w:t>
      </w:r>
    </w:p>
    <w:p w14:paraId="0AB29E50">
      <w:pPr>
        <w:pStyle w:val="18"/>
        <w:kinsoku/>
        <w:overflowPunct/>
        <w:bidi w:val="0"/>
        <w:spacing w:before="156" w:line="360" w:lineRule="auto"/>
        <w:ind w:firstLine="619" w:firstLineChars="295"/>
        <w:rPr>
          <w:color w:val="auto"/>
          <w:highlight w:val="none"/>
        </w:rPr>
      </w:pPr>
      <w:r>
        <w:rPr>
          <w:i/>
          <w:color w:val="auto"/>
          <w:highlight w:val="none"/>
        </w:rPr>
        <w:t>Δ</w:t>
      </w:r>
      <w:r>
        <w:rPr>
          <w:rFonts w:hint="eastAsia" w:ascii="宋体" w:hAnsi="宋体"/>
          <w:i/>
          <w:iCs/>
          <w:color w:val="auto"/>
          <w:highlight w:val="none"/>
        </w:rPr>
        <w:t>θ</w:t>
      </w:r>
      <w:r>
        <w:rPr>
          <w:rFonts w:hint="eastAsia"/>
          <w:color w:val="auto"/>
          <w:highlight w:val="none"/>
        </w:rPr>
        <w:sym w:font="Symbol" w:char="F0BE"/>
      </w:r>
      <w:r>
        <w:rPr>
          <w:rFonts w:hint="eastAsia"/>
          <w:color w:val="auto"/>
          <w:highlight w:val="none"/>
        </w:rPr>
        <w:sym w:font="Symbol" w:char="F0BE"/>
      </w:r>
      <w:r>
        <w:rPr>
          <w:rFonts w:hint="eastAsia"/>
          <w:color w:val="auto"/>
          <w:highlight w:val="none"/>
        </w:rPr>
        <w:t>试验终止温度与初始温度之差（℃）；</w:t>
      </w:r>
    </w:p>
    <w:p w14:paraId="4456FB38">
      <w:pPr>
        <w:kinsoku/>
        <w:overflowPunct/>
        <w:bidi w:val="0"/>
        <w:spacing w:before="156" w:beforeLines="50" w:line="360" w:lineRule="auto"/>
        <w:ind w:firstLine="315" w:firstLineChars="150"/>
        <w:rPr>
          <w:color w:val="auto"/>
          <w:highlight w:val="none"/>
        </w:rPr>
      </w:pPr>
      <w:r>
        <w:rPr>
          <w:bCs/>
          <w:color w:val="auto"/>
          <w:highlight w:val="none"/>
        </w:rPr>
        <w:t>3</w:t>
      </w:r>
      <w:r>
        <w:rPr>
          <w:rFonts w:hint="eastAsia"/>
          <w:bCs/>
          <w:color w:val="auto"/>
          <w:highlight w:val="none"/>
        </w:rPr>
        <w:t xml:space="preserve"> 两个试件测值之差的绝对值不大于平均值的10%时，</w:t>
      </w:r>
      <w:r>
        <w:rPr>
          <w:bCs/>
          <w:color w:val="auto"/>
          <w:highlight w:val="none"/>
        </w:rPr>
        <w:t>取两个试件测值的平均值作为</w:t>
      </w:r>
      <w:r>
        <w:rPr>
          <w:rFonts w:hint="eastAsia"/>
          <w:bCs/>
          <w:color w:val="auto"/>
          <w:highlight w:val="none"/>
        </w:rPr>
        <w:t>线膨胀</w:t>
      </w:r>
      <w:r>
        <w:rPr>
          <w:bCs/>
          <w:color w:val="auto"/>
          <w:highlight w:val="none"/>
        </w:rPr>
        <w:t>系数的</w:t>
      </w:r>
      <w:r>
        <w:rPr>
          <w:rFonts w:hint="eastAsia"/>
          <w:bCs/>
          <w:color w:val="auto"/>
          <w:highlight w:val="none"/>
        </w:rPr>
        <w:t>测定值，应</w:t>
      </w:r>
      <w:r>
        <w:rPr>
          <w:rFonts w:hint="eastAsia"/>
          <w:color w:val="auto"/>
          <w:highlight w:val="none"/>
        </w:rPr>
        <w:t>精确至1×10</w:t>
      </w:r>
      <w:r>
        <w:rPr>
          <w:rFonts w:hint="eastAsia"/>
          <w:color w:val="auto"/>
          <w:highlight w:val="none"/>
          <w:vertAlign w:val="superscript"/>
        </w:rPr>
        <w:t>-6</w:t>
      </w:r>
      <w:r>
        <w:rPr>
          <w:rFonts w:hint="eastAsia"/>
          <w:color w:val="auto"/>
          <w:highlight w:val="none"/>
        </w:rPr>
        <w:t>；当两个试件测值之差超过允许范围时，应重新进行试验</w:t>
      </w:r>
      <w:r>
        <w:rPr>
          <w:color w:val="auto"/>
          <w:highlight w:val="none"/>
        </w:rPr>
        <w:t>。</w:t>
      </w:r>
    </w:p>
    <w:p w14:paraId="18B9DB6C">
      <w:pPr>
        <w:kinsoku/>
        <w:overflowPunct/>
        <w:bidi w:val="0"/>
        <w:spacing w:before="156" w:beforeLines="50" w:line="360" w:lineRule="auto"/>
        <w:ind w:firstLine="315" w:firstLineChars="150"/>
        <w:rPr>
          <w:color w:val="auto"/>
          <w:highlight w:val="none"/>
        </w:rPr>
      </w:pPr>
    </w:p>
    <w:p w14:paraId="2B56D0FE">
      <w:pPr>
        <w:pStyle w:val="65"/>
        <w:kinsoku/>
        <w:overflowPunct/>
        <w:bidi w:val="0"/>
        <w:spacing w:before="156" w:beforeLines="50" w:after="156" w:afterLines="50" w:line="360" w:lineRule="auto"/>
        <w:outlineLvl w:val="1"/>
        <w:rPr>
          <w:color w:val="auto"/>
          <w:highlight w:val="none"/>
        </w:rPr>
      </w:pPr>
      <w:bookmarkStart w:id="97" w:name="_Toc15065"/>
      <w:r>
        <w:rPr>
          <w:rFonts w:hint="eastAsia"/>
          <w:color w:val="auto"/>
          <w:highlight w:val="none"/>
        </w:rPr>
        <w:t>6.11 耐磨性试验</w:t>
      </w:r>
      <w:bookmarkEnd w:id="97"/>
    </w:p>
    <w:p w14:paraId="162DBC3F">
      <w:pPr>
        <w:pStyle w:val="18"/>
        <w:kinsoku/>
        <w:overflowPunct/>
        <w:bidi w:val="0"/>
        <w:spacing w:before="156" w:after="93" w:line="360" w:lineRule="auto"/>
        <w:ind w:firstLine="0" w:firstLineChars="0"/>
        <w:rPr>
          <w:bCs/>
          <w:color w:val="auto"/>
          <w:highlight w:val="none"/>
        </w:rPr>
      </w:pPr>
      <w:r>
        <w:rPr>
          <w:bCs/>
          <w:color w:val="auto"/>
          <w:highlight w:val="none"/>
        </w:rPr>
        <w:t>6.11.1</w:t>
      </w:r>
      <w:r>
        <w:rPr>
          <w:rFonts w:hint="eastAsia"/>
          <w:bCs/>
          <w:color w:val="auto"/>
          <w:highlight w:val="none"/>
        </w:rPr>
        <w:t xml:space="preserve"> 本方法适用于测定超高性能混凝土试件磨损面上单位面积的磨耗量。</w:t>
      </w:r>
    </w:p>
    <w:p w14:paraId="739B7202">
      <w:pPr>
        <w:pStyle w:val="18"/>
        <w:kinsoku/>
        <w:overflowPunct/>
        <w:bidi w:val="0"/>
        <w:spacing w:before="156" w:after="93" w:line="360" w:lineRule="auto"/>
        <w:ind w:firstLine="0" w:firstLineChars="0"/>
        <w:rPr>
          <w:bCs/>
          <w:color w:val="auto"/>
          <w:highlight w:val="none"/>
        </w:rPr>
      </w:pPr>
      <w:r>
        <w:rPr>
          <w:bCs/>
          <w:color w:val="auto"/>
          <w:highlight w:val="none"/>
        </w:rPr>
        <w:t>6.11.2</w:t>
      </w:r>
      <w:r>
        <w:rPr>
          <w:rFonts w:hint="eastAsia"/>
          <w:bCs/>
          <w:color w:val="auto"/>
          <w:highlight w:val="none"/>
        </w:rPr>
        <w:t xml:space="preserve"> 超高性能混凝土耐磨性试验应采用150mm×150mm×150mm立方体试件，每组3个试件。</w:t>
      </w:r>
    </w:p>
    <w:p w14:paraId="2D71AE9D">
      <w:pPr>
        <w:pStyle w:val="18"/>
        <w:kinsoku/>
        <w:overflowPunct/>
        <w:bidi w:val="0"/>
        <w:spacing w:before="156" w:after="93" w:line="360" w:lineRule="auto"/>
        <w:ind w:firstLine="0" w:firstLineChars="0"/>
        <w:rPr>
          <w:bCs/>
          <w:color w:val="auto"/>
          <w:highlight w:val="none"/>
        </w:rPr>
      </w:pPr>
      <w:r>
        <w:rPr>
          <w:bCs/>
          <w:color w:val="auto"/>
          <w:highlight w:val="none"/>
        </w:rPr>
        <w:t>6.11.3</w:t>
      </w:r>
      <w:r>
        <w:rPr>
          <w:rFonts w:hint="eastAsia"/>
          <w:bCs/>
          <w:color w:val="auto"/>
          <w:highlight w:val="none"/>
        </w:rPr>
        <w:t xml:space="preserve"> 试验仪器设备应符合下列规定：</w:t>
      </w:r>
    </w:p>
    <w:p w14:paraId="7D44887C">
      <w:pPr>
        <w:kinsoku/>
        <w:overflowPunct/>
        <w:bidi w:val="0"/>
        <w:spacing w:before="156" w:beforeLines="50" w:line="360" w:lineRule="auto"/>
        <w:ind w:firstLine="315" w:firstLineChars="150"/>
        <w:rPr>
          <w:bCs/>
          <w:color w:val="auto"/>
          <w:highlight w:val="none"/>
        </w:rPr>
      </w:pPr>
      <w:r>
        <w:rPr>
          <w:bCs/>
          <w:color w:val="auto"/>
          <w:highlight w:val="none"/>
        </w:rPr>
        <w:t>1</w:t>
      </w:r>
      <w:r>
        <w:rPr>
          <w:rFonts w:hint="eastAsia"/>
          <w:bCs/>
          <w:color w:val="auto"/>
          <w:highlight w:val="none"/>
        </w:rPr>
        <w:t xml:space="preserve"> 超高性能混凝土</w:t>
      </w:r>
      <w:r>
        <w:rPr>
          <w:rFonts w:hint="eastAsia"/>
          <w:bCs/>
          <w:color w:val="auto"/>
          <w:szCs w:val="21"/>
          <w:highlight w:val="none"/>
        </w:rPr>
        <w:t>磨耗试验</w:t>
      </w:r>
      <w:r>
        <w:rPr>
          <w:rFonts w:hint="eastAsia"/>
          <w:bCs/>
          <w:color w:val="auto"/>
          <w:highlight w:val="none"/>
        </w:rPr>
        <w:t>机</w:t>
      </w:r>
      <w:r>
        <w:rPr>
          <w:bCs/>
          <w:color w:val="auto"/>
          <w:highlight w:val="none"/>
        </w:rPr>
        <w:t>由直立主轴、水平转盘、传动机构和控制系统组成。主轴和转盘不在同一轴线上，主轴和转盘同时按相反方向转动，主轴下端配有磨头连结装置，可以装卸磨头。</w:t>
      </w:r>
      <w:r>
        <w:rPr>
          <w:rFonts w:hint="eastAsia"/>
          <w:bCs/>
          <w:color w:val="auto"/>
          <w:highlight w:val="none"/>
        </w:rPr>
        <w:t>同时应符合下列技术要求：</w:t>
      </w:r>
    </w:p>
    <w:p w14:paraId="4934F9E1">
      <w:pPr>
        <w:pStyle w:val="18"/>
        <w:kinsoku/>
        <w:overflowPunct/>
        <w:bidi w:val="0"/>
        <w:spacing w:before="156" w:after="93" w:line="360" w:lineRule="auto"/>
        <w:ind w:firstLine="420"/>
        <w:rPr>
          <w:bCs/>
          <w:color w:val="auto"/>
          <w:highlight w:val="none"/>
        </w:rPr>
      </w:pPr>
      <w:r>
        <w:rPr>
          <w:bCs/>
          <w:color w:val="auto"/>
          <w:highlight w:val="none"/>
        </w:rPr>
        <w:t>1</w:t>
      </w:r>
      <w:r>
        <w:rPr>
          <w:rFonts w:hint="eastAsia"/>
          <w:bCs/>
          <w:color w:val="auto"/>
          <w:highlight w:val="none"/>
        </w:rPr>
        <w:t>）</w:t>
      </w:r>
      <w:r>
        <w:rPr>
          <w:bCs/>
          <w:color w:val="auto"/>
          <w:highlight w:val="none"/>
        </w:rPr>
        <w:t>主轴与水平转盘垂直度；测量长度80mm时偏离度不大于0.04mm。</w:t>
      </w:r>
    </w:p>
    <w:p w14:paraId="1062F7E5">
      <w:pPr>
        <w:pStyle w:val="18"/>
        <w:kinsoku/>
        <w:overflowPunct/>
        <w:bidi w:val="0"/>
        <w:spacing w:before="156" w:after="93" w:line="360" w:lineRule="auto"/>
        <w:ind w:firstLine="420"/>
        <w:rPr>
          <w:bCs/>
          <w:color w:val="auto"/>
          <w:highlight w:val="none"/>
        </w:rPr>
      </w:pPr>
      <w:r>
        <w:rPr>
          <w:bCs/>
          <w:color w:val="auto"/>
          <w:highlight w:val="none"/>
        </w:rPr>
        <w:t>2</w:t>
      </w:r>
      <w:r>
        <w:rPr>
          <w:rFonts w:hint="eastAsia"/>
          <w:bCs/>
          <w:color w:val="auto"/>
          <w:highlight w:val="none"/>
        </w:rPr>
        <w:t>）</w:t>
      </w:r>
      <w:r>
        <w:rPr>
          <w:bCs/>
          <w:color w:val="auto"/>
          <w:highlight w:val="none"/>
        </w:rPr>
        <w:t>水平转盘转速</w:t>
      </w:r>
      <w:r>
        <w:rPr>
          <w:rFonts w:hint="eastAsia"/>
          <w:bCs/>
          <w:color w:val="auto"/>
          <w:highlight w:val="none"/>
        </w:rPr>
        <w:t>应为</w:t>
      </w:r>
      <w:r>
        <w:rPr>
          <w:bCs/>
          <w:color w:val="auto"/>
          <w:highlight w:val="none"/>
        </w:rPr>
        <w:t>17.5r/min±0.5r/min，主轴与转盘转速比为35</w:t>
      </w:r>
      <w:r>
        <w:rPr>
          <w:rFonts w:hint="eastAsia"/>
          <w:bCs/>
          <w:color w:val="auto"/>
          <w:highlight w:val="none"/>
        </w:rPr>
        <w:t>:</w:t>
      </w:r>
      <w:r>
        <w:rPr>
          <w:bCs/>
          <w:color w:val="auto"/>
          <w:highlight w:val="none"/>
        </w:rPr>
        <w:t>1。</w:t>
      </w:r>
    </w:p>
    <w:p w14:paraId="3FCCC6C9">
      <w:pPr>
        <w:pStyle w:val="18"/>
        <w:kinsoku/>
        <w:overflowPunct/>
        <w:bidi w:val="0"/>
        <w:spacing w:before="156" w:after="93" w:line="360" w:lineRule="auto"/>
        <w:ind w:firstLine="420"/>
        <w:rPr>
          <w:bCs/>
          <w:color w:val="auto"/>
          <w:highlight w:val="none"/>
        </w:rPr>
      </w:pPr>
      <w:r>
        <w:rPr>
          <w:bCs/>
          <w:color w:val="auto"/>
          <w:highlight w:val="none"/>
        </w:rPr>
        <w:t>3</w:t>
      </w:r>
      <w:r>
        <w:rPr>
          <w:rFonts w:hint="eastAsia"/>
          <w:bCs/>
          <w:color w:val="auto"/>
          <w:highlight w:val="none"/>
        </w:rPr>
        <w:t>）</w:t>
      </w:r>
      <w:r>
        <w:rPr>
          <w:bCs/>
          <w:color w:val="auto"/>
          <w:highlight w:val="none"/>
        </w:rPr>
        <w:t>主轴与转盘的中心距</w:t>
      </w:r>
      <w:r>
        <w:rPr>
          <w:rFonts w:hint="eastAsia"/>
          <w:bCs/>
          <w:color w:val="auto"/>
          <w:highlight w:val="none"/>
        </w:rPr>
        <w:t>应</w:t>
      </w:r>
      <w:r>
        <w:rPr>
          <w:bCs/>
          <w:color w:val="auto"/>
          <w:highlight w:val="none"/>
        </w:rPr>
        <w:t>为40mm±0.2mm。</w:t>
      </w:r>
    </w:p>
    <w:p w14:paraId="2DF2E882">
      <w:pPr>
        <w:pStyle w:val="18"/>
        <w:kinsoku/>
        <w:overflowPunct/>
        <w:bidi w:val="0"/>
        <w:spacing w:before="156" w:after="93" w:line="360" w:lineRule="auto"/>
        <w:ind w:firstLine="420"/>
        <w:rPr>
          <w:bCs/>
          <w:color w:val="auto"/>
          <w:highlight w:val="none"/>
        </w:rPr>
      </w:pPr>
      <w:r>
        <w:rPr>
          <w:bCs/>
          <w:color w:val="auto"/>
          <w:highlight w:val="none"/>
        </w:rPr>
        <w:t>4</w:t>
      </w:r>
      <w:r>
        <w:rPr>
          <w:rFonts w:hint="eastAsia"/>
          <w:bCs/>
          <w:color w:val="auto"/>
          <w:highlight w:val="none"/>
        </w:rPr>
        <w:t>）</w:t>
      </w:r>
      <w:r>
        <w:rPr>
          <w:bCs/>
          <w:color w:val="auto"/>
          <w:highlight w:val="none"/>
        </w:rPr>
        <w:t>负荷</w:t>
      </w:r>
      <w:r>
        <w:rPr>
          <w:rFonts w:hint="eastAsia"/>
          <w:bCs/>
          <w:color w:val="auto"/>
          <w:highlight w:val="none"/>
        </w:rPr>
        <w:t>可</w:t>
      </w:r>
      <w:r>
        <w:rPr>
          <w:bCs/>
          <w:color w:val="auto"/>
          <w:highlight w:val="none"/>
        </w:rPr>
        <w:t>分为200N、300N、400N三档，误差不</w:t>
      </w:r>
      <w:r>
        <w:rPr>
          <w:rFonts w:hint="eastAsia"/>
          <w:bCs/>
          <w:color w:val="auto"/>
          <w:highlight w:val="none"/>
        </w:rPr>
        <w:t>应</w:t>
      </w:r>
      <w:r>
        <w:rPr>
          <w:bCs/>
          <w:color w:val="auto"/>
          <w:highlight w:val="none"/>
        </w:rPr>
        <w:t>大于±1</w:t>
      </w:r>
      <w:r>
        <w:rPr>
          <w:rFonts w:hint="eastAsia"/>
          <w:bCs/>
          <w:color w:val="auto"/>
          <w:highlight w:val="none"/>
        </w:rPr>
        <w:t>%</w:t>
      </w:r>
      <w:r>
        <w:rPr>
          <w:bCs/>
          <w:color w:val="auto"/>
          <w:highlight w:val="none"/>
        </w:rPr>
        <w:t>。</w:t>
      </w:r>
    </w:p>
    <w:p w14:paraId="5ACE94BF">
      <w:pPr>
        <w:pStyle w:val="18"/>
        <w:kinsoku/>
        <w:overflowPunct/>
        <w:bidi w:val="0"/>
        <w:spacing w:before="156" w:after="93" w:line="360" w:lineRule="auto"/>
        <w:ind w:firstLine="420"/>
        <w:rPr>
          <w:bCs/>
          <w:color w:val="auto"/>
          <w:highlight w:val="none"/>
        </w:rPr>
      </w:pPr>
      <w:r>
        <w:rPr>
          <w:bCs/>
          <w:color w:val="auto"/>
          <w:highlight w:val="none"/>
        </w:rPr>
        <w:t>5</w:t>
      </w:r>
      <w:r>
        <w:rPr>
          <w:rFonts w:hint="eastAsia"/>
          <w:bCs/>
          <w:color w:val="auto"/>
          <w:highlight w:val="none"/>
        </w:rPr>
        <w:t>）</w:t>
      </w:r>
      <w:r>
        <w:rPr>
          <w:bCs/>
          <w:color w:val="auto"/>
          <w:highlight w:val="none"/>
        </w:rPr>
        <w:t>主轴升降行程不</w:t>
      </w:r>
      <w:r>
        <w:rPr>
          <w:rFonts w:hint="eastAsia"/>
          <w:bCs/>
          <w:color w:val="auto"/>
          <w:highlight w:val="none"/>
        </w:rPr>
        <w:t>应</w:t>
      </w:r>
      <w:r>
        <w:rPr>
          <w:bCs/>
          <w:color w:val="auto"/>
          <w:highlight w:val="none"/>
        </w:rPr>
        <w:t>小于80mm，磨头最低点距水平转盘工作面不</w:t>
      </w:r>
      <w:r>
        <w:rPr>
          <w:rFonts w:hint="eastAsia"/>
          <w:bCs/>
          <w:color w:val="auto"/>
          <w:highlight w:val="none"/>
        </w:rPr>
        <w:t>应</w:t>
      </w:r>
      <w:r>
        <w:rPr>
          <w:bCs/>
          <w:color w:val="auto"/>
          <w:highlight w:val="none"/>
        </w:rPr>
        <w:t>大于25mm。</w:t>
      </w:r>
    </w:p>
    <w:p w14:paraId="422D5534">
      <w:pPr>
        <w:pStyle w:val="18"/>
        <w:kinsoku/>
        <w:overflowPunct/>
        <w:bidi w:val="0"/>
        <w:spacing w:before="156" w:after="93" w:line="360" w:lineRule="auto"/>
        <w:ind w:firstLine="420"/>
        <w:rPr>
          <w:bCs/>
          <w:color w:val="auto"/>
          <w:highlight w:val="none"/>
        </w:rPr>
      </w:pPr>
      <w:r>
        <w:rPr>
          <w:bCs/>
          <w:color w:val="auto"/>
          <w:highlight w:val="none"/>
        </w:rPr>
        <w:t>6</w:t>
      </w:r>
      <w:r>
        <w:rPr>
          <w:rFonts w:hint="eastAsia"/>
          <w:bCs/>
          <w:color w:val="auto"/>
          <w:highlight w:val="none"/>
        </w:rPr>
        <w:t>）</w:t>
      </w:r>
      <w:r>
        <w:rPr>
          <w:bCs/>
          <w:color w:val="auto"/>
          <w:highlight w:val="none"/>
        </w:rPr>
        <w:t>水平转盘上应配有能夹紧试件的卡具，卡头单向行程应为</w:t>
      </w:r>
      <w:r>
        <w:rPr>
          <w:bCs/>
          <w:color w:val="auto"/>
          <w:position w:val="-10"/>
          <w:highlight w:val="none"/>
        </w:rPr>
        <w:object>
          <v:shape id="_x0000_i1072" o:spt="75" type="#_x0000_t75" style="height:15.55pt;width:22.2pt;" o:ole="t" filled="f" o:preferrelative="t" stroked="f" coordsize="21600,21600">
            <v:path/>
            <v:fill on="f" focussize="0,0"/>
            <v:stroke on="f" joinstyle="miter"/>
            <v:imagedata r:id="rId130" o:title=""/>
            <o:lock v:ext="edit" aspectratio="t"/>
            <w10:wrap type="none"/>
            <w10:anchorlock/>
          </v:shape>
          <o:OLEObject Type="Embed" ProgID="Equation.3" ShapeID="_x0000_i1072" DrawAspect="Content" ObjectID="_1468075772" r:id="rId129">
            <o:LockedField>false</o:LockedField>
          </o:OLEObject>
        </w:object>
      </w:r>
      <w:r>
        <w:rPr>
          <w:bCs/>
          <w:color w:val="auto"/>
          <w:highlight w:val="none"/>
        </w:rPr>
        <w:t>mm。卡夹宽度不应小于50mm，应能卡进150mm×150mm×150mm立方体试件，夹紧试件后应保证试件不上浮或翘起。</w:t>
      </w:r>
    </w:p>
    <w:p w14:paraId="602A825B">
      <w:pPr>
        <w:pStyle w:val="18"/>
        <w:kinsoku/>
        <w:overflowPunct/>
        <w:bidi w:val="0"/>
        <w:spacing w:before="156" w:after="93" w:line="360" w:lineRule="auto"/>
        <w:ind w:firstLine="420"/>
        <w:rPr>
          <w:color w:val="auto"/>
          <w:highlight w:val="none"/>
        </w:rPr>
      </w:pPr>
      <w:r>
        <w:rPr>
          <w:bCs/>
          <w:color w:val="auto"/>
          <w:highlight w:val="none"/>
        </w:rPr>
        <w:t>7</w:t>
      </w:r>
      <w:r>
        <w:rPr>
          <w:rFonts w:hint="eastAsia"/>
          <w:bCs/>
          <w:color w:val="auto"/>
          <w:highlight w:val="none"/>
        </w:rPr>
        <w:t>）</w:t>
      </w:r>
      <w:r>
        <w:rPr>
          <w:bCs/>
          <w:color w:val="auto"/>
          <w:highlight w:val="none"/>
        </w:rPr>
        <w:t>花轮磨头（图6.11.3）由三组花轮组成，按星形排列成等分三角形，花轮与轴心最小距离应为16mm，最大</w:t>
      </w:r>
      <w:r>
        <w:rPr>
          <w:color w:val="auto"/>
          <w:highlight w:val="none"/>
        </w:rPr>
        <w:t>距离应为25mm。每组花轮由两片花轮片装配而成，其间隔宜为2.6 mm~2.3mm。花轮片直径应为Φ</w:t>
      </w:r>
      <w:r>
        <w:rPr>
          <w:color w:val="auto"/>
          <w:highlight w:val="none"/>
        </w:rPr>
        <w:object>
          <v:shape id="_x0000_i1073" o:spt="75" type="#_x0000_t75" style="height:19.05pt;width:29.95pt;" o:ole="t" filled="f" o:preferrelative="t" stroked="f" coordsize="21600,21600">
            <v:path/>
            <v:fill on="f" focussize="0,0"/>
            <v:stroke on="f" joinstyle="miter"/>
            <v:imagedata r:id="rId132" o:title=""/>
            <o:lock v:ext="edit" aspectratio="t"/>
            <w10:wrap type="none"/>
            <w10:anchorlock/>
          </v:shape>
          <o:OLEObject Type="Embed" ProgID="Equation.3" ShapeID="_x0000_i1073" DrawAspect="Content" ObjectID="_1468075773" r:id="rId131">
            <o:LockedField>false</o:LockedField>
          </o:OLEObject>
        </w:object>
      </w:r>
      <w:r>
        <w:rPr>
          <w:color w:val="auto"/>
          <w:highlight w:val="none"/>
        </w:rPr>
        <w:t>mm，厚度应为</w:t>
      </w:r>
      <w:r>
        <w:rPr>
          <w:color w:val="auto"/>
          <w:highlight w:val="none"/>
        </w:rPr>
        <w:object>
          <v:shape id="_x0000_i1074" o:spt="75" type="#_x0000_t75" style="height:19.05pt;width:26.45pt;" o:ole="t" filled="f" o:preferrelative="t" stroked="f" coordsize="21600,21600">
            <v:path/>
            <v:fill on="f" focussize="0,0"/>
            <v:stroke on="f" joinstyle="miter"/>
            <v:imagedata r:id="rId134" o:title=""/>
            <o:lock v:ext="edit" aspectratio="t"/>
            <w10:wrap type="none"/>
            <w10:anchorlock/>
          </v:shape>
          <o:OLEObject Type="Embed" ProgID="Equation.3" ShapeID="_x0000_i1074" DrawAspect="Content" ObjectID="_1468075774" r:id="rId133">
            <o:LockedField>false</o:LockedField>
          </o:OLEObject>
        </w:object>
      </w:r>
      <w:r>
        <w:rPr>
          <w:color w:val="auto"/>
          <w:highlight w:val="none"/>
        </w:rPr>
        <w:t>mm，边缘上均匀分布12个矩形齿，齿宽应为3.3mm，齿高应为3mm，应由不小于HRC 60硬质钢制成。磨头与水平转盘间有效净空宜为160mm~180mm。</w:t>
      </w:r>
    </w:p>
    <w:p w14:paraId="59D7CE6D">
      <w:pPr>
        <w:pStyle w:val="18"/>
        <w:kinsoku/>
        <w:overflowPunct/>
        <w:bidi w:val="0"/>
        <w:spacing w:before="156" w:after="93" w:line="360" w:lineRule="auto"/>
        <w:ind w:firstLine="420"/>
        <w:rPr>
          <w:bCs/>
          <w:color w:val="auto"/>
          <w:highlight w:val="none"/>
        </w:rPr>
      </w:pPr>
      <w:r>
        <w:rPr>
          <w:bCs/>
          <w:color w:val="auto"/>
          <w:highlight w:val="none"/>
        </w:rPr>
        <w:t>8</w:t>
      </w:r>
      <w:r>
        <w:rPr>
          <w:rFonts w:hint="eastAsia"/>
          <w:bCs/>
          <w:color w:val="auto"/>
          <w:highlight w:val="none"/>
        </w:rPr>
        <w:t>）</w:t>
      </w:r>
      <w:r>
        <w:rPr>
          <w:bCs/>
          <w:color w:val="auto"/>
          <w:highlight w:val="none"/>
        </w:rPr>
        <w:t>应具有0~999转盘数字自动控制显示装置，其转数误差应小于1/4转，并应装有电源电压监测表及自动停车报警装置。</w:t>
      </w:r>
    </w:p>
    <w:p w14:paraId="5832D720">
      <w:pPr>
        <w:pStyle w:val="18"/>
        <w:kinsoku/>
        <w:overflowPunct/>
        <w:bidi w:val="0"/>
        <w:spacing w:before="156" w:after="93" w:line="360" w:lineRule="auto"/>
        <w:ind w:firstLine="420"/>
        <w:rPr>
          <w:color w:val="auto"/>
          <w:highlight w:val="none"/>
        </w:rPr>
      </w:pPr>
      <w:r>
        <w:rPr>
          <w:bCs/>
          <w:color w:val="auto"/>
          <w:highlight w:val="none"/>
        </w:rPr>
        <w:t>9</w:t>
      </w:r>
      <w:r>
        <w:rPr>
          <w:rFonts w:hint="eastAsia"/>
          <w:bCs/>
          <w:color w:val="auto"/>
          <w:highlight w:val="none"/>
        </w:rPr>
        <w:t>）</w:t>
      </w:r>
      <w:r>
        <w:rPr>
          <w:bCs/>
          <w:color w:val="auto"/>
          <w:highlight w:val="none"/>
        </w:rPr>
        <w:t>吸尘器</w:t>
      </w:r>
      <w:r>
        <w:rPr>
          <w:color w:val="auto"/>
          <w:highlight w:val="none"/>
        </w:rPr>
        <w:t>装置</w:t>
      </w:r>
      <w:r>
        <w:rPr>
          <w:rFonts w:hint="eastAsia"/>
          <w:color w:val="auto"/>
          <w:highlight w:val="none"/>
        </w:rPr>
        <w:t>应</w:t>
      </w:r>
      <w:r>
        <w:rPr>
          <w:color w:val="auto"/>
          <w:highlight w:val="none"/>
        </w:rPr>
        <w:t>随时将磨下的粉尘吸走。</w:t>
      </w:r>
    </w:p>
    <w:p w14:paraId="3173DDC3">
      <w:pPr>
        <w:pStyle w:val="18"/>
        <w:kinsoku/>
        <w:overflowPunct/>
        <w:bidi w:val="0"/>
        <w:spacing w:before="156" w:after="93" w:line="360" w:lineRule="auto"/>
        <w:ind w:firstLine="420"/>
        <w:jc w:val="center"/>
        <w:rPr>
          <w:color w:val="auto"/>
          <w:highlight w:val="none"/>
        </w:rPr>
      </w:pPr>
      <w:r>
        <w:rPr>
          <w:color w:val="auto"/>
          <w:highlight w:val="none"/>
        </w:rPr>
        <w:drawing>
          <wp:inline distT="0" distB="0" distL="114300" distR="114300">
            <wp:extent cx="4781550" cy="2751455"/>
            <wp:effectExtent l="0" t="0" r="6350" b="0"/>
            <wp:docPr id="8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5"/>
                    <pic:cNvPicPr>
                      <a:picLocks noChangeAspect="1"/>
                    </pic:cNvPicPr>
                  </pic:nvPicPr>
                  <pic:blipFill>
                    <a:blip r:embed="rId135"/>
                    <a:stretch>
                      <a:fillRect/>
                    </a:stretch>
                  </pic:blipFill>
                  <pic:spPr>
                    <a:xfrm>
                      <a:off x="0" y="0"/>
                      <a:ext cx="4781550" cy="2751455"/>
                    </a:xfrm>
                    <a:prstGeom prst="rect">
                      <a:avLst/>
                    </a:prstGeom>
                    <a:noFill/>
                    <a:ln w="9525">
                      <a:noFill/>
                    </a:ln>
                  </pic:spPr>
                </pic:pic>
              </a:graphicData>
            </a:graphic>
          </wp:inline>
        </w:drawing>
      </w:r>
    </w:p>
    <w:p w14:paraId="450F5456">
      <w:pPr>
        <w:pStyle w:val="18"/>
        <w:kinsoku/>
        <w:overflowPunct/>
        <w:bidi w:val="0"/>
        <w:spacing w:before="156" w:after="93" w:line="360" w:lineRule="auto"/>
        <w:ind w:firstLine="420"/>
        <w:jc w:val="center"/>
        <w:rPr>
          <w:color w:val="auto"/>
          <w:highlight w:val="none"/>
        </w:rPr>
      </w:pPr>
      <w:r>
        <w:rPr>
          <w:rFonts w:hint="eastAsia"/>
          <w:color w:val="auto"/>
          <w:highlight w:val="none"/>
        </w:rPr>
        <w:t xml:space="preserve">图6.11.3 </w:t>
      </w:r>
      <w:r>
        <w:rPr>
          <w:color w:val="auto"/>
          <w:highlight w:val="none"/>
        </w:rPr>
        <w:t>花轮磨头示意图</w:t>
      </w:r>
      <w:r>
        <w:rPr>
          <w:rFonts w:hint="eastAsia"/>
          <w:color w:val="auto"/>
          <w:highlight w:val="none"/>
        </w:rPr>
        <w:t>（mm）</w:t>
      </w:r>
    </w:p>
    <w:p w14:paraId="7823408E">
      <w:pPr>
        <w:pStyle w:val="119"/>
        <w:kinsoku/>
        <w:overflowPunct/>
        <w:bidi w:val="0"/>
        <w:adjustRightInd w:val="0"/>
        <w:snapToGrid w:val="0"/>
        <w:spacing w:before="156" w:beforeLines="50" w:line="360" w:lineRule="auto"/>
        <w:ind w:left="357" w:firstLine="0" w:firstLineChars="0"/>
        <w:jc w:val="center"/>
        <w:rPr>
          <w:color w:val="auto"/>
          <w:sz w:val="18"/>
          <w:szCs w:val="18"/>
          <w:highlight w:val="none"/>
        </w:rPr>
      </w:pPr>
      <w:r>
        <w:rPr>
          <w:color w:val="auto"/>
          <w:sz w:val="18"/>
          <w:szCs w:val="18"/>
          <w:highlight w:val="none"/>
        </w:rPr>
        <w:t>1-垫片；2-刀片</w:t>
      </w:r>
    </w:p>
    <w:p w14:paraId="7B707534">
      <w:pPr>
        <w:kinsoku/>
        <w:overflowPunct/>
        <w:bidi w:val="0"/>
        <w:spacing w:before="156" w:beforeLines="50" w:line="360" w:lineRule="auto"/>
        <w:ind w:firstLine="315" w:firstLineChars="150"/>
        <w:rPr>
          <w:color w:val="auto"/>
          <w:highlight w:val="none"/>
        </w:rPr>
      </w:pPr>
      <w:r>
        <w:rPr>
          <w:color w:val="auto"/>
          <w:highlight w:val="none"/>
        </w:rPr>
        <w:t>2</w:t>
      </w:r>
      <w:r>
        <w:rPr>
          <w:rFonts w:hint="eastAsia"/>
          <w:color w:val="auto"/>
          <w:highlight w:val="none"/>
        </w:rPr>
        <w:t xml:space="preserve"> 烘箱的</w:t>
      </w:r>
      <w:r>
        <w:rPr>
          <w:rFonts w:hint="eastAsia"/>
          <w:bCs/>
          <w:color w:val="auto"/>
          <w:szCs w:val="21"/>
          <w:highlight w:val="none"/>
        </w:rPr>
        <w:t>调温</w:t>
      </w:r>
      <w:r>
        <w:rPr>
          <w:rFonts w:hint="eastAsia"/>
          <w:color w:val="auto"/>
          <w:highlight w:val="none"/>
        </w:rPr>
        <w:t>范围应为50℃~200℃，控制温度允许偏差应为±5℃。</w:t>
      </w:r>
    </w:p>
    <w:p w14:paraId="244D4234">
      <w:pPr>
        <w:kinsoku/>
        <w:overflowPunct/>
        <w:bidi w:val="0"/>
        <w:spacing w:before="156" w:beforeLines="50" w:line="360" w:lineRule="auto"/>
        <w:ind w:firstLine="315" w:firstLineChars="150"/>
        <w:rPr>
          <w:color w:val="auto"/>
          <w:highlight w:val="none"/>
        </w:rPr>
      </w:pPr>
      <w:r>
        <w:rPr>
          <w:color w:val="auto"/>
          <w:highlight w:val="none"/>
        </w:rPr>
        <w:t>3</w:t>
      </w:r>
      <w:r>
        <w:rPr>
          <w:rFonts w:hint="eastAsia"/>
          <w:color w:val="auto"/>
          <w:highlight w:val="none"/>
        </w:rPr>
        <w:t xml:space="preserve"> 电子秤的量程应大于10kg，感量不应大于1g。</w:t>
      </w:r>
    </w:p>
    <w:p w14:paraId="42F19789">
      <w:pPr>
        <w:pStyle w:val="18"/>
        <w:kinsoku/>
        <w:overflowPunct/>
        <w:bidi w:val="0"/>
        <w:spacing w:before="156" w:after="93" w:line="360" w:lineRule="auto"/>
        <w:ind w:firstLine="0" w:firstLineChars="0"/>
        <w:rPr>
          <w:color w:val="auto"/>
          <w:highlight w:val="none"/>
        </w:rPr>
      </w:pPr>
      <w:r>
        <w:rPr>
          <w:color w:val="auto"/>
          <w:highlight w:val="none"/>
        </w:rPr>
        <w:t>6.11.4</w:t>
      </w:r>
      <w:r>
        <w:rPr>
          <w:rFonts w:hint="eastAsia"/>
          <w:color w:val="auto"/>
          <w:highlight w:val="none"/>
        </w:rPr>
        <w:t xml:space="preserve"> </w:t>
      </w:r>
      <w:r>
        <w:rPr>
          <w:rFonts w:hint="eastAsia"/>
          <w:bCs/>
          <w:color w:val="auto"/>
          <w:highlight w:val="none"/>
        </w:rPr>
        <w:t>超高性能</w:t>
      </w:r>
      <w:r>
        <w:rPr>
          <w:rFonts w:hint="eastAsia"/>
          <w:color w:val="auto"/>
          <w:highlight w:val="none"/>
        </w:rPr>
        <w:t>混凝土</w:t>
      </w:r>
      <w:r>
        <w:rPr>
          <w:rFonts w:hint="eastAsia"/>
          <w:bCs/>
          <w:color w:val="auto"/>
          <w:highlight w:val="none"/>
        </w:rPr>
        <w:t>耐磨性</w:t>
      </w:r>
      <w:r>
        <w:rPr>
          <w:rFonts w:hint="eastAsia"/>
          <w:color w:val="auto"/>
          <w:highlight w:val="none"/>
        </w:rPr>
        <w:t>试验应按下列步骤进行：</w:t>
      </w:r>
    </w:p>
    <w:p w14:paraId="494F4A05">
      <w:pPr>
        <w:kinsoku/>
        <w:overflowPunct/>
        <w:bidi w:val="0"/>
        <w:spacing w:before="156" w:beforeLines="50" w:line="360" w:lineRule="auto"/>
        <w:ind w:firstLine="315" w:firstLineChars="150"/>
        <w:rPr>
          <w:color w:val="auto"/>
          <w:highlight w:val="none"/>
        </w:rPr>
      </w:pPr>
      <w:r>
        <w:rPr>
          <w:color w:val="auto"/>
          <w:highlight w:val="none"/>
        </w:rPr>
        <w:t>1</w:t>
      </w:r>
      <w:r>
        <w:rPr>
          <w:rFonts w:hint="eastAsia"/>
          <w:color w:val="auto"/>
          <w:highlight w:val="none"/>
        </w:rPr>
        <w:t xml:space="preserve"> 应将</w:t>
      </w:r>
      <w:r>
        <w:rPr>
          <w:rFonts w:hint="eastAsia"/>
          <w:bCs/>
          <w:color w:val="auto"/>
          <w:szCs w:val="21"/>
          <w:highlight w:val="none"/>
        </w:rPr>
        <w:t>试件</w:t>
      </w:r>
      <w:r>
        <w:rPr>
          <w:rFonts w:hint="eastAsia"/>
          <w:color w:val="auto"/>
          <w:highlight w:val="none"/>
        </w:rPr>
        <w:t>养护至27d龄期从养护地点取出，擦干表面水分放在试验室内空气中自然干燥12h，再放入60℃±5℃烘箱中，烘干12h，磨耗面应朝上。</w:t>
      </w:r>
    </w:p>
    <w:p w14:paraId="01D78733">
      <w:pPr>
        <w:kinsoku/>
        <w:overflowPunct/>
        <w:bidi w:val="0"/>
        <w:spacing w:before="156" w:beforeLines="50" w:line="360" w:lineRule="auto"/>
        <w:ind w:firstLine="315" w:firstLineChars="150"/>
        <w:rPr>
          <w:color w:val="auto"/>
          <w:highlight w:val="none"/>
        </w:rPr>
      </w:pPr>
      <w:r>
        <w:rPr>
          <w:color w:val="auto"/>
          <w:highlight w:val="none"/>
        </w:rPr>
        <w:t>2</w:t>
      </w:r>
      <w:r>
        <w:rPr>
          <w:rFonts w:hint="eastAsia"/>
          <w:color w:val="auto"/>
          <w:highlight w:val="none"/>
        </w:rPr>
        <w:t xml:space="preserve"> 试件</w:t>
      </w:r>
      <w:r>
        <w:rPr>
          <w:rFonts w:hint="eastAsia"/>
          <w:bCs/>
          <w:color w:val="auto"/>
          <w:szCs w:val="21"/>
          <w:highlight w:val="none"/>
        </w:rPr>
        <w:t>烘干</w:t>
      </w:r>
      <w:r>
        <w:rPr>
          <w:rFonts w:hint="eastAsia"/>
          <w:color w:val="auto"/>
          <w:highlight w:val="none"/>
        </w:rPr>
        <w:t>处理后应放至室温，刷净表面浮尘。</w:t>
      </w:r>
    </w:p>
    <w:p w14:paraId="446A59C9">
      <w:pPr>
        <w:kinsoku/>
        <w:overflowPunct/>
        <w:bidi w:val="0"/>
        <w:spacing w:before="156" w:beforeLines="50" w:line="360" w:lineRule="auto"/>
        <w:ind w:firstLine="315" w:firstLineChars="150"/>
        <w:rPr>
          <w:color w:val="auto"/>
          <w:highlight w:val="none"/>
        </w:rPr>
      </w:pPr>
      <w:r>
        <w:rPr>
          <w:color w:val="auto"/>
          <w:highlight w:val="none"/>
        </w:rPr>
        <w:t>3</w:t>
      </w:r>
      <w:r>
        <w:rPr>
          <w:rFonts w:hint="eastAsia"/>
          <w:color w:val="auto"/>
          <w:highlight w:val="none"/>
        </w:rPr>
        <w:t xml:space="preserve"> 将试件放至耐磨试验机的水平转盘上，磨耗面应选用试件侧面，并用夹具将其轻轻紧固。在200N的负荷下磨</w:t>
      </w:r>
      <w:r>
        <w:rPr>
          <w:rFonts w:hint="eastAsia"/>
          <w:color w:val="auto"/>
          <w:highlight w:val="none"/>
          <w:lang w:eastAsia="zh"/>
          <w:woUserID w:val="3"/>
        </w:rPr>
        <w:t>9</w:t>
      </w:r>
      <w:r>
        <w:rPr>
          <w:rFonts w:hint="eastAsia"/>
          <w:color w:val="auto"/>
          <w:highlight w:val="none"/>
        </w:rPr>
        <w:t>0转，</w:t>
      </w:r>
      <w:r>
        <w:rPr>
          <w:rFonts w:hint="eastAsia"/>
          <w:color w:val="auto"/>
          <w:highlight w:val="none"/>
          <w:woUserID w:val="3"/>
        </w:rPr>
        <w:t>然后取下试件刷净表面粉尘称重，记下相应质量</w:t>
      </w:r>
      <w:r>
        <w:rPr>
          <w:rFonts w:hint="eastAsia"/>
          <w:i/>
          <w:iCs/>
          <w:color w:val="auto"/>
          <w:highlight w:val="none"/>
          <w:woUserID w:val="3"/>
        </w:rPr>
        <w:t>m</w:t>
      </w:r>
      <w:r>
        <w:rPr>
          <w:color w:val="auto"/>
          <w:highlight w:val="none"/>
          <w:vertAlign w:val="subscript"/>
          <w:woUserID w:val="3"/>
        </w:rPr>
        <w:t>1</w:t>
      </w:r>
      <w:r>
        <w:rPr>
          <w:rFonts w:hint="eastAsia"/>
          <w:color w:val="auto"/>
          <w:highlight w:val="none"/>
          <w:woUserID w:val="3"/>
        </w:rPr>
        <w:t>，该质量作为试件的初始质量。</w:t>
      </w:r>
      <w:r>
        <w:rPr>
          <w:rFonts w:hint="eastAsia"/>
          <w:color w:val="auto"/>
          <w:highlight w:val="none"/>
          <w:lang w:eastAsia="zh"/>
          <w:woUserID w:val="3"/>
        </w:rPr>
        <w:t>重新</w:t>
      </w:r>
      <w:r>
        <w:rPr>
          <w:rFonts w:hint="eastAsia"/>
          <w:color w:val="auto"/>
          <w:highlight w:val="none"/>
          <w:woUserID w:val="3"/>
        </w:rPr>
        <w:t>将试件放至耐磨试验机的水平转盘上，在200N的负荷下磨</w:t>
      </w:r>
      <w:r>
        <w:rPr>
          <w:rFonts w:hint="eastAsia"/>
          <w:color w:val="auto"/>
          <w:highlight w:val="none"/>
          <w:lang w:eastAsia="zh"/>
          <w:woUserID w:val="3"/>
        </w:rPr>
        <w:t>120</w:t>
      </w:r>
      <w:r>
        <w:rPr>
          <w:rFonts w:hint="eastAsia"/>
          <w:color w:val="auto"/>
          <w:highlight w:val="none"/>
          <w:woUserID w:val="3"/>
        </w:rPr>
        <w:t>转</w:t>
      </w:r>
      <w:r>
        <w:rPr>
          <w:rFonts w:hint="eastAsia"/>
          <w:color w:val="auto"/>
          <w:highlight w:val="none"/>
          <w:lang w:eastAsia="zh"/>
          <w:woUserID w:val="3"/>
        </w:rPr>
        <w:t>，</w:t>
      </w:r>
      <w:r>
        <w:rPr>
          <w:rFonts w:hint="eastAsia"/>
          <w:color w:val="auto"/>
          <w:highlight w:val="none"/>
        </w:rPr>
        <w:t>然后取下试件刷净表面粉尘称重，记下相应质量</w:t>
      </w:r>
      <w:r>
        <w:rPr>
          <w:rFonts w:hint="eastAsia"/>
          <w:i/>
          <w:iCs/>
          <w:color w:val="auto"/>
          <w:highlight w:val="none"/>
        </w:rPr>
        <w:t>m</w:t>
      </w:r>
      <w:r>
        <w:rPr>
          <w:color w:val="auto"/>
          <w:highlight w:val="none"/>
          <w:vertAlign w:val="subscript"/>
        </w:rPr>
        <w:t>2</w:t>
      </w:r>
      <w:r>
        <w:rPr>
          <w:rFonts w:hint="eastAsia"/>
          <w:color w:val="auto"/>
          <w:highlight w:val="none"/>
        </w:rPr>
        <w:t>。</w:t>
      </w:r>
    </w:p>
    <w:p w14:paraId="3F035EF2">
      <w:pPr>
        <w:kinsoku/>
        <w:overflowPunct/>
        <w:bidi w:val="0"/>
        <w:spacing w:before="156" w:beforeLines="50" w:line="360" w:lineRule="auto"/>
        <w:ind w:firstLine="315" w:firstLineChars="150"/>
        <w:rPr>
          <w:color w:val="auto"/>
          <w:highlight w:val="none"/>
        </w:rPr>
      </w:pPr>
      <w:r>
        <w:rPr>
          <w:rFonts w:hint="eastAsia"/>
          <w:color w:val="auto"/>
          <w:highlight w:val="none"/>
        </w:rPr>
        <w:t>整个磨耗过程应将吸尘器对准试件磨耗面，使磨下的粉尘被及时吸走。如果</w:t>
      </w:r>
      <w:r>
        <w:rPr>
          <w:rFonts w:hint="eastAsia"/>
          <w:bCs/>
          <w:color w:val="auto"/>
          <w:highlight w:val="none"/>
        </w:rPr>
        <w:t>超高性能</w:t>
      </w:r>
      <w:r>
        <w:rPr>
          <w:rFonts w:hint="eastAsia"/>
          <w:color w:val="auto"/>
          <w:highlight w:val="none"/>
        </w:rPr>
        <w:t>混凝土具有高耐磨性，可再增加</w:t>
      </w:r>
      <w:r>
        <w:rPr>
          <w:rFonts w:hint="eastAsia"/>
          <w:bCs/>
          <w:color w:val="auto"/>
          <w:szCs w:val="21"/>
          <w:highlight w:val="none"/>
        </w:rPr>
        <w:t>旋转</w:t>
      </w:r>
      <w:r>
        <w:rPr>
          <w:rFonts w:hint="eastAsia"/>
          <w:color w:val="auto"/>
          <w:highlight w:val="none"/>
        </w:rPr>
        <w:t>次数，并应特别注明。</w:t>
      </w:r>
    </w:p>
    <w:p w14:paraId="7F5E3C1B">
      <w:pPr>
        <w:kinsoku/>
        <w:overflowPunct/>
        <w:bidi w:val="0"/>
        <w:spacing w:before="156" w:beforeLines="50" w:line="360" w:lineRule="auto"/>
        <w:ind w:firstLine="315" w:firstLineChars="150"/>
        <w:rPr>
          <w:color w:val="auto"/>
          <w:highlight w:val="none"/>
        </w:rPr>
      </w:pPr>
      <w:r>
        <w:rPr>
          <w:color w:val="auto"/>
          <w:highlight w:val="none"/>
        </w:rPr>
        <w:t>4</w:t>
      </w:r>
      <w:r>
        <w:rPr>
          <w:rFonts w:hint="eastAsia"/>
          <w:color w:val="auto"/>
          <w:highlight w:val="none"/>
        </w:rPr>
        <w:t xml:space="preserve"> 每组花轮</w:t>
      </w:r>
      <w:r>
        <w:rPr>
          <w:rFonts w:hint="eastAsia"/>
          <w:bCs/>
          <w:color w:val="auto"/>
          <w:szCs w:val="21"/>
          <w:highlight w:val="none"/>
        </w:rPr>
        <w:t>刀片</w:t>
      </w:r>
      <w:r>
        <w:rPr>
          <w:rFonts w:hint="eastAsia"/>
          <w:color w:val="auto"/>
          <w:highlight w:val="none"/>
        </w:rPr>
        <w:t>只进行一组试件的磨耗试验，进行第二组磨耗试验时，必须更换一组新的花轮刀片。</w:t>
      </w:r>
    </w:p>
    <w:p w14:paraId="5D34E1FA">
      <w:pPr>
        <w:pStyle w:val="18"/>
        <w:kinsoku/>
        <w:overflowPunct/>
        <w:bidi w:val="0"/>
        <w:spacing w:before="156" w:after="93" w:line="360" w:lineRule="auto"/>
        <w:ind w:firstLine="0" w:firstLineChars="0"/>
        <w:rPr>
          <w:color w:val="auto"/>
          <w:highlight w:val="none"/>
        </w:rPr>
      </w:pPr>
      <w:r>
        <w:rPr>
          <w:color w:val="auto"/>
          <w:highlight w:val="none"/>
        </w:rPr>
        <w:t>6.11.5</w:t>
      </w:r>
      <w:r>
        <w:rPr>
          <w:rFonts w:hint="eastAsia"/>
          <w:color w:val="auto"/>
          <w:highlight w:val="none"/>
        </w:rPr>
        <w:t xml:space="preserve"> 试验结果计算及确定应按下列方法进行：</w:t>
      </w:r>
    </w:p>
    <w:p w14:paraId="50CE0B90">
      <w:pPr>
        <w:kinsoku/>
        <w:overflowPunct/>
        <w:bidi w:val="0"/>
        <w:spacing w:before="156" w:beforeLines="50" w:line="360" w:lineRule="auto"/>
        <w:ind w:firstLine="315" w:firstLineChars="150"/>
        <w:rPr>
          <w:color w:val="auto"/>
          <w:highlight w:val="none"/>
        </w:rPr>
      </w:pPr>
      <w:r>
        <w:rPr>
          <w:color w:val="auto"/>
          <w:highlight w:val="none"/>
        </w:rPr>
        <w:t>1</w:t>
      </w:r>
      <w:r>
        <w:rPr>
          <w:rFonts w:hint="eastAsia"/>
          <w:color w:val="auto"/>
          <w:highlight w:val="none"/>
        </w:rPr>
        <w:t xml:space="preserve"> 应按下式</w:t>
      </w:r>
      <w:r>
        <w:rPr>
          <w:rFonts w:hint="eastAsia"/>
          <w:bCs/>
          <w:color w:val="auto"/>
          <w:szCs w:val="21"/>
          <w:highlight w:val="none"/>
        </w:rPr>
        <w:t>计算</w:t>
      </w:r>
      <w:r>
        <w:rPr>
          <w:rFonts w:hint="eastAsia"/>
          <w:color w:val="auto"/>
          <w:highlight w:val="none"/>
        </w:rPr>
        <w:t>每一试件的磨耗量，以单位面积的磨耗量来表示。</w:t>
      </w:r>
    </w:p>
    <w:p w14:paraId="0B9E61B1">
      <w:pPr>
        <w:pStyle w:val="18"/>
        <w:kinsoku/>
        <w:wordWrap w:val="0"/>
        <w:overflowPunct/>
        <w:bidi w:val="0"/>
        <w:spacing w:before="156" w:after="93" w:line="360" w:lineRule="auto"/>
        <w:ind w:firstLine="420"/>
        <w:jc w:val="right"/>
        <w:rPr>
          <w:color w:val="auto"/>
          <w:highlight w:val="none"/>
        </w:rPr>
      </w:pPr>
      <w:r>
        <w:rPr>
          <w:color w:val="auto"/>
          <w:position w:val="-24"/>
          <w:highlight w:val="none"/>
        </w:rPr>
        <w:drawing>
          <wp:inline distT="0" distB="0" distL="114300" distR="114300">
            <wp:extent cx="847725" cy="400050"/>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136"/>
                    <a:stretch>
                      <a:fillRect/>
                    </a:stretch>
                  </pic:blipFill>
                  <pic:spPr>
                    <a:xfrm>
                      <a:off x="0" y="0"/>
                      <a:ext cx="847725" cy="400050"/>
                    </a:xfrm>
                    <a:prstGeom prst="rect">
                      <a:avLst/>
                    </a:prstGeom>
                  </pic:spPr>
                </pic:pic>
              </a:graphicData>
            </a:graphic>
          </wp:inline>
        </w:drawing>
      </w:r>
      <w:r>
        <w:rPr>
          <w:rFonts w:hint="eastAsia"/>
          <w:color w:val="auto"/>
          <w:highlight w:val="none"/>
        </w:rPr>
        <w:t xml:space="preserve">                            （6.11.5）</w:t>
      </w:r>
    </w:p>
    <w:p w14:paraId="561676A0">
      <w:pPr>
        <w:pStyle w:val="18"/>
        <w:kinsoku/>
        <w:overflowPunct/>
        <w:bidi w:val="0"/>
        <w:spacing w:before="156" w:line="360" w:lineRule="auto"/>
        <w:ind w:firstLine="0" w:firstLineChars="0"/>
        <w:rPr>
          <w:color w:val="auto"/>
          <w:highlight w:val="none"/>
        </w:rPr>
      </w:pPr>
      <w:r>
        <w:rPr>
          <w:rFonts w:hint="eastAsia"/>
          <w:color w:val="auto"/>
          <w:highlight w:val="none"/>
        </w:rPr>
        <w:t>式中：</w:t>
      </w:r>
      <w:r>
        <w:rPr>
          <w:rFonts w:hint="eastAsia"/>
          <w:i/>
          <w:color w:val="auto"/>
          <w:highlight w:val="none"/>
        </w:rPr>
        <w:t>G</w:t>
      </w:r>
      <w:r>
        <w:rPr>
          <w:color w:val="auto"/>
          <w:highlight w:val="none"/>
          <w:vertAlign w:val="subscript"/>
        </w:rPr>
        <w:t>c</w:t>
      </w:r>
      <w:r>
        <w:rPr>
          <w:rFonts w:ascii="Symbol" w:hAnsi="Symbol" w:cs="Symbol"/>
          <w:color w:val="auto"/>
          <w:highlight w:val="none"/>
        </w:rPr>
        <w:t></w:t>
      </w:r>
      <w:r>
        <w:rPr>
          <w:rFonts w:hint="eastAsia"/>
          <w:color w:val="auto"/>
          <w:highlight w:val="none"/>
        </w:rPr>
        <w:t>单位面积的磨耗量（kg/m</w:t>
      </w:r>
      <w:r>
        <w:rPr>
          <w:rFonts w:hint="eastAsia"/>
          <w:color w:val="auto"/>
          <w:highlight w:val="none"/>
          <w:vertAlign w:val="superscript"/>
        </w:rPr>
        <w:t>2</w:t>
      </w:r>
      <w:r>
        <w:rPr>
          <w:rFonts w:hint="eastAsia"/>
          <w:color w:val="auto"/>
          <w:highlight w:val="none"/>
        </w:rPr>
        <w:t>），计算结果应精确至0.001kg/m</w:t>
      </w:r>
      <w:r>
        <w:rPr>
          <w:rFonts w:hint="eastAsia"/>
          <w:color w:val="auto"/>
          <w:highlight w:val="none"/>
          <w:vertAlign w:val="superscript"/>
        </w:rPr>
        <w:t>2</w:t>
      </w:r>
      <w:r>
        <w:rPr>
          <w:rFonts w:hint="eastAsia"/>
          <w:color w:val="auto"/>
          <w:highlight w:val="none"/>
        </w:rPr>
        <w:t>；</w:t>
      </w:r>
    </w:p>
    <w:p w14:paraId="36D1C239">
      <w:pPr>
        <w:pStyle w:val="18"/>
        <w:kinsoku/>
        <w:overflowPunct/>
        <w:bidi w:val="0"/>
        <w:spacing w:before="156" w:line="360" w:lineRule="auto"/>
        <w:ind w:firstLine="619" w:firstLineChars="295"/>
        <w:rPr>
          <w:color w:val="auto"/>
          <w:highlight w:val="none"/>
        </w:rPr>
      </w:pPr>
      <w:r>
        <w:rPr>
          <w:rFonts w:hint="eastAsia"/>
          <w:i/>
          <w:color w:val="auto"/>
          <w:highlight w:val="none"/>
        </w:rPr>
        <w:t>m</w:t>
      </w:r>
      <w:r>
        <w:rPr>
          <w:color w:val="auto"/>
          <w:highlight w:val="none"/>
          <w:vertAlign w:val="subscript"/>
        </w:rPr>
        <w:t>1</w:t>
      </w:r>
      <w:r>
        <w:rPr>
          <w:rFonts w:ascii="Symbol" w:hAnsi="Symbol" w:cs="Symbol"/>
          <w:color w:val="auto"/>
          <w:highlight w:val="none"/>
        </w:rPr>
        <w:t></w:t>
      </w:r>
      <w:r>
        <w:rPr>
          <w:rFonts w:hint="eastAsia"/>
          <w:color w:val="auto"/>
          <w:highlight w:val="none"/>
        </w:rPr>
        <w:t>试件的初始质量（kg）；</w:t>
      </w:r>
    </w:p>
    <w:p w14:paraId="2814E657">
      <w:pPr>
        <w:pStyle w:val="18"/>
        <w:kinsoku/>
        <w:overflowPunct/>
        <w:bidi w:val="0"/>
        <w:spacing w:before="156" w:line="360" w:lineRule="auto"/>
        <w:ind w:firstLine="619" w:firstLineChars="295"/>
        <w:rPr>
          <w:color w:val="auto"/>
          <w:highlight w:val="none"/>
        </w:rPr>
      </w:pPr>
      <w:r>
        <w:rPr>
          <w:rFonts w:hint="eastAsia"/>
          <w:i/>
          <w:color w:val="auto"/>
          <w:highlight w:val="none"/>
        </w:rPr>
        <w:t>m</w:t>
      </w:r>
      <w:r>
        <w:rPr>
          <w:color w:val="auto"/>
          <w:highlight w:val="none"/>
          <w:vertAlign w:val="subscript"/>
        </w:rPr>
        <w:t>2</w:t>
      </w:r>
      <w:r>
        <w:rPr>
          <w:rFonts w:ascii="Symbol" w:hAnsi="Symbol" w:cs="Symbol"/>
          <w:color w:val="auto"/>
          <w:highlight w:val="none"/>
        </w:rPr>
        <w:t></w:t>
      </w:r>
      <w:r>
        <w:rPr>
          <w:rFonts w:hint="eastAsia"/>
          <w:color w:val="auto"/>
          <w:highlight w:val="none"/>
        </w:rPr>
        <w:t>试件磨耗后的质量（kg）；</w:t>
      </w:r>
    </w:p>
    <w:p w14:paraId="44D56515">
      <w:pPr>
        <w:pStyle w:val="18"/>
        <w:kinsoku/>
        <w:overflowPunct/>
        <w:bidi w:val="0"/>
        <w:spacing w:before="156" w:line="360" w:lineRule="auto"/>
        <w:ind w:firstLine="619" w:firstLineChars="295"/>
        <w:rPr>
          <w:color w:val="auto"/>
          <w:highlight w:val="none"/>
        </w:rPr>
      </w:pPr>
      <w:r>
        <w:rPr>
          <w:rFonts w:hint="eastAsia"/>
          <w:i/>
          <w:color w:val="auto"/>
          <w:highlight w:val="none"/>
        </w:rPr>
        <w:t>A</w:t>
      </w:r>
      <w:r>
        <w:rPr>
          <w:rFonts w:ascii="Symbol" w:hAnsi="Symbol" w:cs="Symbol"/>
          <w:color w:val="auto"/>
          <w:highlight w:val="none"/>
        </w:rPr>
        <w:t></w:t>
      </w:r>
      <w:r>
        <w:rPr>
          <w:rFonts w:hint="eastAsia"/>
          <w:color w:val="auto"/>
          <w:highlight w:val="none"/>
        </w:rPr>
        <w:t>试件磨耗面积（m</w:t>
      </w:r>
      <w:r>
        <w:rPr>
          <w:rFonts w:hint="eastAsia"/>
          <w:color w:val="auto"/>
          <w:highlight w:val="none"/>
          <w:vertAlign w:val="superscript"/>
        </w:rPr>
        <w:t>2</w:t>
      </w:r>
      <w:r>
        <w:rPr>
          <w:rFonts w:hint="eastAsia"/>
          <w:color w:val="auto"/>
          <w:highlight w:val="none"/>
        </w:rPr>
        <w:t>）；</w:t>
      </w:r>
    </w:p>
    <w:p w14:paraId="4993A96D">
      <w:pPr>
        <w:kinsoku/>
        <w:overflowPunct/>
        <w:bidi w:val="0"/>
        <w:spacing w:before="156" w:beforeLines="50" w:line="360" w:lineRule="auto"/>
        <w:ind w:firstLine="315" w:firstLineChars="150"/>
        <w:rPr>
          <w:bCs/>
          <w:color w:val="auto"/>
          <w:highlight w:val="none"/>
          <w:lang w:val="nb-NO"/>
        </w:rPr>
      </w:pPr>
      <w:r>
        <w:rPr>
          <w:bCs/>
          <w:color w:val="auto"/>
          <w:highlight w:val="none"/>
        </w:rPr>
        <w:t>2</w:t>
      </w:r>
      <w:r>
        <w:rPr>
          <w:rFonts w:hint="eastAsia"/>
          <w:bCs/>
          <w:color w:val="auto"/>
          <w:highlight w:val="none"/>
        </w:rPr>
        <w:t xml:space="preserve"> 试件的</w:t>
      </w:r>
      <w:r>
        <w:rPr>
          <w:rFonts w:hint="eastAsia"/>
          <w:color w:val="auto"/>
          <w:highlight w:val="none"/>
        </w:rPr>
        <w:t>磨耗</w:t>
      </w:r>
      <w:r>
        <w:rPr>
          <w:rFonts w:hint="eastAsia"/>
          <w:bCs/>
          <w:color w:val="auto"/>
          <w:highlight w:val="none"/>
        </w:rPr>
        <w:t>量值</w:t>
      </w:r>
      <w:r>
        <w:rPr>
          <w:bCs/>
          <w:color w:val="auto"/>
          <w:highlight w:val="none"/>
          <w:lang w:val="nb-NO"/>
        </w:rPr>
        <w:t>确定应符合下列规定</w:t>
      </w:r>
      <w:r>
        <w:rPr>
          <w:rFonts w:hint="eastAsia"/>
          <w:bCs/>
          <w:color w:val="auto"/>
          <w:highlight w:val="none"/>
          <w:lang w:val="nb-NO"/>
        </w:rPr>
        <w:t>：</w:t>
      </w:r>
    </w:p>
    <w:p w14:paraId="40D7896C">
      <w:pPr>
        <w:pStyle w:val="53"/>
        <w:kinsoku/>
        <w:overflowPunct/>
        <w:bidi w:val="0"/>
        <w:spacing w:line="360" w:lineRule="auto"/>
        <w:ind w:firstLine="525" w:firstLineChars="250"/>
        <w:rPr>
          <w:color w:val="auto"/>
          <w:highlight w:val="none"/>
          <w:lang w:val="nb-NO"/>
        </w:rPr>
      </w:pPr>
      <w:r>
        <w:rPr>
          <w:color w:val="auto"/>
          <w:highlight w:val="none"/>
          <w:lang w:val="nb-NO"/>
        </w:rPr>
        <w:t>1）</w:t>
      </w:r>
      <w:r>
        <w:rPr>
          <w:color w:val="auto"/>
          <w:highlight w:val="none"/>
        </w:rPr>
        <w:t>应以</w:t>
      </w:r>
      <w:r>
        <w:rPr>
          <w:color w:val="auto"/>
          <w:highlight w:val="none"/>
          <w:lang w:val="nb-NO"/>
        </w:rPr>
        <w:t>三个试件测值的算术平均值作为该组试件的磨耗量值，应精确至</w:t>
      </w:r>
      <w:r>
        <w:rPr>
          <w:color w:val="auto"/>
          <w:highlight w:val="none"/>
        </w:rPr>
        <w:t>0.001kg/m</w:t>
      </w:r>
      <w:r>
        <w:rPr>
          <w:color w:val="auto"/>
          <w:highlight w:val="none"/>
          <w:vertAlign w:val="superscript"/>
        </w:rPr>
        <w:t>2</w:t>
      </w:r>
      <w:r>
        <w:rPr>
          <w:color w:val="auto"/>
          <w:highlight w:val="none"/>
          <w:lang w:val="nb-NO"/>
        </w:rPr>
        <w:t>；</w:t>
      </w:r>
    </w:p>
    <w:p w14:paraId="27BFD15F">
      <w:pPr>
        <w:pStyle w:val="53"/>
        <w:kinsoku/>
        <w:overflowPunct/>
        <w:bidi w:val="0"/>
        <w:spacing w:line="360" w:lineRule="auto"/>
        <w:ind w:firstLine="525" w:firstLineChars="250"/>
        <w:rPr>
          <w:color w:val="auto"/>
          <w:highlight w:val="none"/>
          <w:lang w:val="nb-NO"/>
        </w:rPr>
      </w:pPr>
      <w:r>
        <w:rPr>
          <w:color w:val="auto"/>
          <w:highlight w:val="none"/>
          <w:lang w:val="nb-NO"/>
        </w:rPr>
        <w:t>2）三个测值中的最大值或最小值中如有一个与中间值的差值超过中间值的15%时，则把最大及最小值一并舍除，取中间值作为该组试件的磨耗量值；</w:t>
      </w:r>
    </w:p>
    <w:p w14:paraId="04CFFAE3">
      <w:pPr>
        <w:pStyle w:val="53"/>
        <w:kinsoku/>
        <w:overflowPunct/>
        <w:bidi w:val="0"/>
        <w:spacing w:line="360" w:lineRule="auto"/>
        <w:ind w:firstLine="525" w:firstLineChars="250"/>
        <w:rPr>
          <w:color w:val="auto"/>
          <w:highlight w:val="none"/>
          <w:lang w:val="nb-NO"/>
        </w:rPr>
      </w:pPr>
      <w:r>
        <w:rPr>
          <w:color w:val="auto"/>
          <w:highlight w:val="none"/>
          <w:lang w:val="nb-NO"/>
        </w:rPr>
        <w:t>3）如最大值和最小值与</w:t>
      </w:r>
      <w:r>
        <w:rPr>
          <w:rFonts w:hint="eastAsia"/>
          <w:color w:val="auto"/>
          <w:highlight w:val="none"/>
        </w:rPr>
        <w:t>中间值</w:t>
      </w:r>
      <w:r>
        <w:rPr>
          <w:color w:val="auto"/>
          <w:highlight w:val="none"/>
          <w:lang w:val="nb-NO"/>
        </w:rPr>
        <w:t>的差均超过中间值的15%，则该组试件的试验结果无效。</w:t>
      </w:r>
    </w:p>
    <w:p w14:paraId="6BB6B81D">
      <w:pPr>
        <w:pStyle w:val="53"/>
        <w:kinsoku/>
        <w:overflowPunct/>
        <w:bidi w:val="0"/>
        <w:spacing w:line="360" w:lineRule="auto"/>
        <w:ind w:firstLine="525" w:firstLineChars="250"/>
        <w:rPr>
          <w:color w:val="auto"/>
          <w:highlight w:val="none"/>
          <w:lang w:val="nb-NO"/>
        </w:rPr>
      </w:pPr>
    </w:p>
    <w:p w14:paraId="574AFBA2">
      <w:pPr>
        <w:pStyle w:val="65"/>
        <w:kinsoku/>
        <w:overflowPunct/>
        <w:bidi w:val="0"/>
        <w:spacing w:before="156" w:beforeLines="50" w:after="156" w:afterLines="50" w:line="360" w:lineRule="auto"/>
        <w:outlineLvl w:val="1"/>
        <w:rPr>
          <w:color w:val="auto"/>
          <w:highlight w:val="none"/>
        </w:rPr>
      </w:pPr>
      <w:bookmarkStart w:id="98" w:name="_Toc2885"/>
      <w:r>
        <w:rPr>
          <w:rFonts w:hint="eastAsia"/>
          <w:color w:val="auto"/>
          <w:highlight w:val="none"/>
        </w:rPr>
        <w:t>6.12 硬化超高性能混凝土</w:t>
      </w:r>
      <w:r>
        <w:rPr>
          <w:rFonts w:hint="eastAsia"/>
          <w:color w:val="auto"/>
          <w:highlight w:val="none"/>
          <w:lang w:eastAsia="zh"/>
          <w:woUserID w:val="3"/>
        </w:rPr>
        <w:t>原样体积</w:t>
      </w:r>
      <w:r>
        <w:rPr>
          <w:rFonts w:hint="eastAsia"/>
          <w:color w:val="auto"/>
          <w:highlight w:val="none"/>
        </w:rPr>
        <w:t>密度试验</w:t>
      </w:r>
      <w:bookmarkEnd w:id="98"/>
    </w:p>
    <w:p w14:paraId="619E35BC">
      <w:pPr>
        <w:pStyle w:val="18"/>
        <w:kinsoku/>
        <w:overflowPunct/>
        <w:bidi w:val="0"/>
        <w:spacing w:before="156" w:line="360" w:lineRule="auto"/>
        <w:ind w:firstLine="0" w:firstLineChars="0"/>
        <w:rPr>
          <w:bCs/>
          <w:color w:val="auto"/>
          <w:highlight w:val="none"/>
        </w:rPr>
      </w:pPr>
      <w:r>
        <w:rPr>
          <w:bCs/>
          <w:color w:val="auto"/>
          <w:highlight w:val="none"/>
        </w:rPr>
        <w:t xml:space="preserve">6.12.1 </w:t>
      </w:r>
      <w:r>
        <w:rPr>
          <w:rFonts w:hint="eastAsia"/>
          <w:bCs/>
          <w:color w:val="auto"/>
          <w:highlight w:val="none"/>
        </w:rPr>
        <w:t>本方法适用于测定硬化超高性能混凝土的</w:t>
      </w:r>
      <w:r>
        <w:rPr>
          <w:rFonts w:hint="eastAsia"/>
          <w:color w:val="auto"/>
          <w:highlight w:val="none"/>
          <w:lang w:eastAsia="zh"/>
          <w:woUserID w:val="3"/>
        </w:rPr>
        <w:t>原样体积</w:t>
      </w:r>
      <w:r>
        <w:rPr>
          <w:rFonts w:hint="eastAsia"/>
          <w:bCs/>
          <w:color w:val="auto"/>
          <w:highlight w:val="none"/>
        </w:rPr>
        <w:t>表观密度。</w:t>
      </w:r>
    </w:p>
    <w:p w14:paraId="0D8067A8">
      <w:pPr>
        <w:pStyle w:val="18"/>
        <w:kinsoku/>
        <w:overflowPunct/>
        <w:bidi w:val="0"/>
        <w:spacing w:before="156" w:line="360" w:lineRule="auto"/>
        <w:ind w:firstLine="0" w:firstLineChars="0"/>
        <w:rPr>
          <w:bCs/>
          <w:color w:val="auto"/>
          <w:highlight w:val="none"/>
          <w:lang w:val="nb-NO"/>
        </w:rPr>
      </w:pPr>
      <w:r>
        <w:rPr>
          <w:bCs/>
          <w:color w:val="auto"/>
          <w:highlight w:val="none"/>
        </w:rPr>
        <w:t xml:space="preserve">6.12.2 </w:t>
      </w:r>
      <w:r>
        <w:rPr>
          <w:rFonts w:hint="eastAsia"/>
          <w:bCs/>
          <w:color w:val="auto"/>
          <w:highlight w:val="none"/>
        </w:rPr>
        <w:t>测定硬化超高性能</w:t>
      </w:r>
      <w:r>
        <w:rPr>
          <w:rFonts w:hint="eastAsia"/>
          <w:bCs/>
          <w:color w:val="auto"/>
          <w:highlight w:val="none"/>
          <w:lang w:val="nb-NO"/>
        </w:rPr>
        <w:t>混凝土</w:t>
      </w:r>
      <w:r>
        <w:rPr>
          <w:rFonts w:hint="eastAsia"/>
          <w:color w:val="auto"/>
          <w:highlight w:val="none"/>
          <w:lang w:eastAsia="zh"/>
          <w:woUserID w:val="3"/>
        </w:rPr>
        <w:t>原样体积</w:t>
      </w:r>
      <w:r>
        <w:rPr>
          <w:rFonts w:hint="eastAsia"/>
          <w:bCs/>
          <w:color w:val="auto"/>
          <w:highlight w:val="none"/>
          <w:lang w:val="nb-NO"/>
        </w:rPr>
        <w:t xml:space="preserve">密度试验的试件应符合下列规定： </w:t>
      </w:r>
    </w:p>
    <w:p w14:paraId="12156343">
      <w:pPr>
        <w:kinsoku/>
        <w:overflowPunct/>
        <w:bidi w:val="0"/>
        <w:spacing w:before="156" w:beforeLines="50" w:line="360" w:lineRule="auto"/>
        <w:ind w:firstLine="315" w:firstLineChars="150"/>
        <w:rPr>
          <w:bCs/>
          <w:color w:val="auto"/>
          <w:szCs w:val="21"/>
          <w:highlight w:val="none"/>
          <w:lang w:val="nb-NO"/>
        </w:rPr>
      </w:pPr>
      <w:r>
        <w:rPr>
          <w:bCs/>
          <w:color w:val="auto"/>
          <w:szCs w:val="21"/>
          <w:highlight w:val="none"/>
          <w:lang w:val="nb-NO"/>
        </w:rPr>
        <w:t>1</w:t>
      </w:r>
      <w:r>
        <w:rPr>
          <w:rFonts w:hint="eastAsia"/>
          <w:bCs/>
          <w:color w:val="auto"/>
          <w:szCs w:val="21"/>
          <w:highlight w:val="none"/>
          <w:lang w:val="nb-NO"/>
        </w:rPr>
        <w:t xml:space="preserve"> </w:t>
      </w:r>
      <w:r>
        <w:rPr>
          <w:rFonts w:hint="eastAsia"/>
          <w:bCs/>
          <w:color w:val="auto"/>
          <w:szCs w:val="21"/>
          <w:highlight w:val="none"/>
        </w:rPr>
        <w:t>当</w:t>
      </w:r>
      <w:r>
        <w:rPr>
          <w:rFonts w:hint="eastAsia"/>
          <w:color w:val="auto"/>
          <w:highlight w:val="none"/>
        </w:rPr>
        <w:t>试件</w:t>
      </w:r>
      <w:r>
        <w:rPr>
          <w:rFonts w:hint="eastAsia"/>
          <w:bCs/>
          <w:color w:val="auto"/>
          <w:szCs w:val="21"/>
          <w:highlight w:val="none"/>
          <w:lang w:val="nb-NO"/>
        </w:rPr>
        <w:t>采用试模成型或切割制作时，试件应采用</w:t>
      </w:r>
      <w:r>
        <w:rPr>
          <w:bCs/>
          <w:color w:val="auto"/>
          <w:szCs w:val="21"/>
          <w:highlight w:val="none"/>
          <w:lang w:val="nb-NO"/>
        </w:rPr>
        <w:t>边长</w:t>
      </w:r>
      <w:r>
        <w:rPr>
          <w:rFonts w:hint="eastAsia"/>
          <w:bCs/>
          <w:color w:val="auto"/>
          <w:szCs w:val="21"/>
          <w:highlight w:val="none"/>
          <w:lang w:val="nb-NO"/>
        </w:rPr>
        <w:t>不小于</w:t>
      </w:r>
      <w:r>
        <w:rPr>
          <w:bCs/>
          <w:color w:val="auto"/>
          <w:szCs w:val="21"/>
          <w:highlight w:val="none"/>
          <w:lang w:val="nb-NO"/>
        </w:rPr>
        <w:t>1</w:t>
      </w:r>
      <w:r>
        <w:rPr>
          <w:rFonts w:hint="eastAsia"/>
          <w:bCs/>
          <w:color w:val="auto"/>
          <w:szCs w:val="21"/>
          <w:highlight w:val="none"/>
          <w:lang w:val="nb-NO"/>
        </w:rPr>
        <w:t>0</w:t>
      </w:r>
      <w:r>
        <w:rPr>
          <w:bCs/>
          <w:color w:val="auto"/>
          <w:szCs w:val="21"/>
          <w:highlight w:val="none"/>
          <w:lang w:val="nb-NO"/>
        </w:rPr>
        <w:t>0mm的立方体试件</w:t>
      </w:r>
      <w:r>
        <w:rPr>
          <w:rFonts w:hint="eastAsia"/>
          <w:bCs/>
          <w:color w:val="auto"/>
          <w:szCs w:val="21"/>
          <w:highlight w:val="none"/>
          <w:lang w:val="nb-NO"/>
        </w:rPr>
        <w:t>或棱柱体试件。</w:t>
      </w:r>
    </w:p>
    <w:p w14:paraId="598DC2E7">
      <w:pPr>
        <w:kinsoku/>
        <w:overflowPunct/>
        <w:bidi w:val="0"/>
        <w:spacing w:before="156" w:beforeLines="50" w:line="360" w:lineRule="auto"/>
        <w:ind w:firstLine="315" w:firstLineChars="150"/>
        <w:rPr>
          <w:bCs/>
          <w:color w:val="auto"/>
          <w:szCs w:val="21"/>
          <w:highlight w:val="none"/>
          <w:lang w:val="nb-NO"/>
        </w:rPr>
      </w:pPr>
      <w:r>
        <w:rPr>
          <w:bCs/>
          <w:color w:val="auto"/>
          <w:szCs w:val="21"/>
          <w:highlight w:val="none"/>
          <w:lang w:val="nb-NO"/>
        </w:rPr>
        <w:t>2</w:t>
      </w:r>
      <w:r>
        <w:rPr>
          <w:rFonts w:hint="eastAsia"/>
          <w:bCs/>
          <w:color w:val="auto"/>
          <w:szCs w:val="21"/>
          <w:highlight w:val="none"/>
          <w:lang w:val="nb-NO"/>
        </w:rPr>
        <w:t xml:space="preserve"> </w:t>
      </w:r>
      <w:r>
        <w:rPr>
          <w:rFonts w:hint="eastAsia"/>
          <w:bCs/>
          <w:color w:val="auto"/>
          <w:szCs w:val="21"/>
          <w:highlight w:val="none"/>
        </w:rPr>
        <w:t>当采用钻芯试件时，试件直径不应小于100mm，高不应小于100mm</w:t>
      </w:r>
      <w:r>
        <w:rPr>
          <w:rFonts w:hint="eastAsia"/>
          <w:bCs/>
          <w:color w:val="auto"/>
          <w:szCs w:val="21"/>
          <w:highlight w:val="none"/>
          <w:lang w:val="nb-NO"/>
        </w:rPr>
        <w:t>。</w:t>
      </w:r>
    </w:p>
    <w:p w14:paraId="3D3A956B">
      <w:pPr>
        <w:kinsoku/>
        <w:overflowPunct/>
        <w:bidi w:val="0"/>
        <w:spacing w:before="156" w:beforeLines="50" w:line="360" w:lineRule="auto"/>
        <w:ind w:firstLine="315" w:firstLineChars="150"/>
        <w:rPr>
          <w:bCs/>
          <w:color w:val="auto"/>
          <w:highlight w:val="none"/>
        </w:rPr>
      </w:pPr>
      <w:r>
        <w:rPr>
          <w:bCs/>
          <w:color w:val="auto"/>
          <w:highlight w:val="none"/>
        </w:rPr>
        <w:t xml:space="preserve">3 </w:t>
      </w:r>
      <w:r>
        <w:rPr>
          <w:rFonts w:hint="eastAsia"/>
          <w:bCs/>
          <w:color w:val="auto"/>
          <w:highlight w:val="none"/>
        </w:rPr>
        <w:t>每组试件应为3块。</w:t>
      </w:r>
    </w:p>
    <w:p w14:paraId="0B82F1CE">
      <w:pPr>
        <w:pStyle w:val="18"/>
        <w:kinsoku/>
        <w:overflowPunct/>
        <w:bidi w:val="0"/>
        <w:spacing w:before="156" w:line="360" w:lineRule="auto"/>
        <w:ind w:firstLine="0" w:firstLineChars="0"/>
        <w:rPr>
          <w:bCs/>
          <w:color w:val="auto"/>
          <w:highlight w:val="none"/>
          <w:lang w:val="nb-NO"/>
        </w:rPr>
      </w:pPr>
      <w:r>
        <w:rPr>
          <w:bCs/>
          <w:color w:val="auto"/>
          <w:highlight w:val="none"/>
        </w:rPr>
        <w:t xml:space="preserve">6.12.3 </w:t>
      </w:r>
      <w:r>
        <w:rPr>
          <w:rFonts w:hint="eastAsia"/>
          <w:bCs/>
          <w:color w:val="auto"/>
          <w:highlight w:val="none"/>
          <w:lang w:val="nb-NO"/>
        </w:rPr>
        <w:t>试验仪器设备应符合下列规定：</w:t>
      </w:r>
    </w:p>
    <w:p w14:paraId="39832DB3">
      <w:pPr>
        <w:kinsoku/>
        <w:overflowPunct/>
        <w:bidi w:val="0"/>
        <w:spacing w:before="156" w:beforeLines="50" w:line="360" w:lineRule="auto"/>
        <w:ind w:firstLine="315" w:firstLineChars="150"/>
        <w:rPr>
          <w:bCs/>
          <w:color w:val="auto"/>
          <w:highlight w:val="none"/>
        </w:rPr>
      </w:pPr>
      <w:r>
        <w:rPr>
          <w:bCs/>
          <w:color w:val="auto"/>
          <w:highlight w:val="none"/>
        </w:rPr>
        <w:t>1 游标卡尺或直尺的精度应为0.5mm；</w:t>
      </w:r>
    </w:p>
    <w:p w14:paraId="787CF8E7">
      <w:pPr>
        <w:kinsoku/>
        <w:overflowPunct/>
        <w:bidi w:val="0"/>
        <w:spacing w:before="156" w:beforeLines="50" w:line="360" w:lineRule="auto"/>
        <w:ind w:firstLine="315" w:firstLineChars="150"/>
        <w:rPr>
          <w:bCs/>
          <w:color w:val="auto"/>
          <w:highlight w:val="none"/>
        </w:rPr>
      </w:pPr>
      <w:r>
        <w:rPr>
          <w:bCs/>
          <w:color w:val="auto"/>
          <w:highlight w:val="none"/>
        </w:rPr>
        <w:t xml:space="preserve">2 </w:t>
      </w:r>
      <w:r>
        <w:rPr>
          <w:rFonts w:hint="eastAsia"/>
          <w:bCs/>
          <w:color w:val="auto"/>
          <w:highlight w:val="none"/>
        </w:rPr>
        <w:t>电子天平的最大量程不应小于</w:t>
      </w:r>
      <w:r>
        <w:rPr>
          <w:bCs/>
          <w:color w:val="auto"/>
          <w:highlight w:val="none"/>
        </w:rPr>
        <w:t>5kg</w:t>
      </w:r>
      <w:r>
        <w:rPr>
          <w:rFonts w:hint="eastAsia"/>
          <w:bCs/>
          <w:color w:val="auto"/>
          <w:highlight w:val="none"/>
        </w:rPr>
        <w:t>，感量不应大于</w:t>
      </w:r>
      <w:r>
        <w:rPr>
          <w:bCs/>
          <w:color w:val="auto"/>
          <w:highlight w:val="none"/>
        </w:rPr>
        <w:t>0.1g</w:t>
      </w:r>
      <w:r>
        <w:rPr>
          <w:rFonts w:hint="eastAsia"/>
          <w:bCs/>
          <w:color w:val="auto"/>
          <w:highlight w:val="none"/>
        </w:rPr>
        <w:t>；</w:t>
      </w:r>
      <w:r>
        <w:rPr>
          <w:bCs/>
          <w:color w:val="auto"/>
          <w:highlight w:val="none"/>
        </w:rPr>
        <w:t xml:space="preserve"> </w:t>
      </w:r>
    </w:p>
    <w:p w14:paraId="668B1888">
      <w:pPr>
        <w:kinsoku/>
        <w:overflowPunct/>
        <w:bidi w:val="0"/>
        <w:spacing w:before="156" w:beforeLines="50" w:line="360" w:lineRule="auto"/>
        <w:ind w:firstLine="315" w:firstLineChars="150"/>
        <w:rPr>
          <w:b/>
          <w:color w:val="auto"/>
          <w:highlight w:val="none"/>
        </w:rPr>
      </w:pPr>
      <w:r>
        <w:rPr>
          <w:bCs/>
          <w:color w:val="auto"/>
          <w:highlight w:val="none"/>
        </w:rPr>
        <w:t xml:space="preserve">3 </w:t>
      </w:r>
      <w:r>
        <w:rPr>
          <w:rFonts w:hint="eastAsia"/>
          <w:bCs/>
          <w:color w:val="auto"/>
          <w:highlight w:val="none"/>
        </w:rPr>
        <w:t>水槽尺寸应能保证浸没试件及水中称重</w:t>
      </w:r>
      <w:r>
        <w:rPr>
          <w:rFonts w:hint="eastAsia" w:eastAsia="宋体"/>
          <w:bCs/>
          <w:color w:val="auto"/>
          <w:szCs w:val="24"/>
          <w:highlight w:val="none"/>
        </w:rPr>
        <w:t>，水温应保持在20℃±2℃</w:t>
      </w:r>
      <w:r>
        <w:rPr>
          <w:rFonts w:hint="eastAsia"/>
          <w:color w:val="auto"/>
          <w:highlight w:val="none"/>
        </w:rPr>
        <w:t>。</w:t>
      </w:r>
    </w:p>
    <w:p w14:paraId="3A1A29F1">
      <w:pPr>
        <w:kinsoku/>
        <w:overflowPunct/>
        <w:bidi w:val="0"/>
        <w:spacing w:before="156" w:beforeLines="50" w:line="360" w:lineRule="auto"/>
        <w:rPr>
          <w:bCs/>
          <w:color w:val="auto"/>
          <w:highlight w:val="none"/>
        </w:rPr>
      </w:pPr>
      <w:r>
        <w:rPr>
          <w:bCs/>
          <w:color w:val="auto"/>
          <w:highlight w:val="none"/>
        </w:rPr>
        <w:t xml:space="preserve">6.12.4 </w:t>
      </w:r>
      <w:r>
        <w:rPr>
          <w:rFonts w:hint="eastAsia"/>
          <w:bCs/>
          <w:color w:val="auto"/>
          <w:highlight w:val="none"/>
        </w:rPr>
        <w:t>硬化超高性能</w:t>
      </w:r>
      <w:r>
        <w:rPr>
          <w:bCs/>
          <w:color w:val="auto"/>
          <w:highlight w:val="none"/>
        </w:rPr>
        <w:t>混凝土</w:t>
      </w:r>
      <w:r>
        <w:rPr>
          <w:rFonts w:hint="eastAsia"/>
          <w:color w:val="auto"/>
          <w:highlight w:val="none"/>
          <w:lang w:eastAsia="zh"/>
          <w:woUserID w:val="3"/>
        </w:rPr>
        <w:t>原样体积</w:t>
      </w:r>
      <w:r>
        <w:rPr>
          <w:bCs/>
          <w:color w:val="auto"/>
          <w:highlight w:val="none"/>
        </w:rPr>
        <w:t>密度试验应按下列步骤进行</w:t>
      </w:r>
      <w:r>
        <w:rPr>
          <w:rFonts w:hint="eastAsia"/>
          <w:bCs/>
          <w:color w:val="auto"/>
          <w:highlight w:val="none"/>
        </w:rPr>
        <w:t>：</w:t>
      </w:r>
    </w:p>
    <w:p w14:paraId="18C7CEAE">
      <w:pPr>
        <w:kinsoku/>
        <w:overflowPunct/>
        <w:bidi w:val="0"/>
        <w:spacing w:before="156" w:beforeLines="50" w:line="360" w:lineRule="auto"/>
        <w:ind w:firstLine="315" w:firstLineChars="150"/>
        <w:rPr>
          <w:bCs/>
          <w:color w:val="auto"/>
          <w:highlight w:val="none"/>
        </w:rPr>
      </w:pPr>
      <w:r>
        <w:rPr>
          <w:bCs/>
          <w:color w:val="auto"/>
          <w:highlight w:val="none"/>
        </w:rPr>
        <w:t>1</w:t>
      </w:r>
      <w:r>
        <w:rPr>
          <w:rFonts w:hint="eastAsia"/>
          <w:bCs/>
          <w:color w:val="auto"/>
          <w:highlight w:val="none"/>
        </w:rPr>
        <w:t xml:space="preserve"> 称量原样试件质量。直接称量试件在原样状态下的质量，精确至0.1g，用</w:t>
      </w:r>
      <w:r>
        <w:rPr>
          <w:rFonts w:hint="eastAsia"/>
          <w:bCs/>
          <w:i/>
          <w:color w:val="auto"/>
          <w:highlight w:val="none"/>
        </w:rPr>
        <w:t>m</w:t>
      </w:r>
      <w:r>
        <w:rPr>
          <w:bCs/>
          <w:color w:val="auto"/>
          <w:highlight w:val="none"/>
          <w:vertAlign w:val="subscript"/>
        </w:rPr>
        <w:t>r</w:t>
      </w:r>
      <w:r>
        <w:rPr>
          <w:rFonts w:hint="eastAsia"/>
          <w:bCs/>
          <w:color w:val="auto"/>
          <w:highlight w:val="none"/>
        </w:rPr>
        <w:t>表示。</w:t>
      </w:r>
    </w:p>
    <w:p w14:paraId="4450B1AB">
      <w:pPr>
        <w:kinsoku/>
        <w:overflowPunct/>
        <w:bidi w:val="0"/>
        <w:spacing w:before="156" w:beforeLines="50" w:line="360" w:lineRule="auto"/>
        <w:ind w:firstLine="315" w:firstLineChars="150"/>
        <w:rPr>
          <w:bCs/>
          <w:color w:val="auto"/>
          <w:highlight w:val="none"/>
        </w:rPr>
      </w:pPr>
      <w:r>
        <w:rPr>
          <w:bCs/>
          <w:color w:val="auto"/>
          <w:highlight w:val="none"/>
        </w:rPr>
        <w:t xml:space="preserve">2 </w:t>
      </w:r>
      <w:r>
        <w:rPr>
          <w:rFonts w:hint="eastAsia"/>
          <w:bCs/>
          <w:color w:val="auto"/>
          <w:szCs w:val="22"/>
          <w:highlight w:val="none"/>
        </w:rPr>
        <w:t>称量饱</w:t>
      </w:r>
      <w:r>
        <w:rPr>
          <w:rFonts w:hint="eastAsia"/>
          <w:bCs/>
          <w:color w:val="auto"/>
          <w:highlight w:val="none"/>
        </w:rPr>
        <w:t>水试件的表干质量。将试件浸没在（20±2）℃的水中，水面至少高于试件顶面</w:t>
      </w:r>
      <w:r>
        <w:rPr>
          <w:bCs/>
          <w:color w:val="auto"/>
          <w:highlight w:val="none"/>
        </w:rPr>
        <w:t>25mm</w:t>
      </w:r>
      <w:r>
        <w:rPr>
          <w:rFonts w:hint="eastAsia"/>
          <w:bCs/>
          <w:color w:val="auto"/>
          <w:highlight w:val="none"/>
        </w:rPr>
        <w:t>，浸泡24h，将试件取出，用拧干的湿毛巾擦去表面水分，称量并记录试件质量；继续浸泡24h，将试件取出，用拧干的湿毛巾擦去表面水分，称量并记录试件质量；试件浸泡时间不应小于48h，直至两个连续的24h间隔的质量变化小于较大值的0.2%时，停止浸泡，记录最后一次试件质量，精确至0.1g，用</w:t>
      </w:r>
      <w:r>
        <w:rPr>
          <w:rFonts w:hint="eastAsia"/>
          <w:bCs/>
          <w:i/>
          <w:color w:val="auto"/>
          <w:highlight w:val="none"/>
        </w:rPr>
        <w:t>m</w:t>
      </w:r>
      <w:r>
        <w:rPr>
          <w:rFonts w:hint="eastAsia"/>
          <w:bCs/>
          <w:i/>
          <w:color w:val="auto"/>
          <w:highlight w:val="none"/>
          <w:vertAlign w:val="subscript"/>
        </w:rPr>
        <w:t>s</w:t>
      </w:r>
      <w:r>
        <w:rPr>
          <w:rFonts w:hint="eastAsia"/>
          <w:bCs/>
          <w:color w:val="auto"/>
          <w:highlight w:val="none"/>
        </w:rPr>
        <w:t>表示。</w:t>
      </w:r>
    </w:p>
    <w:p w14:paraId="71215472">
      <w:pPr>
        <w:kinsoku/>
        <w:overflowPunct/>
        <w:bidi w:val="0"/>
        <w:spacing w:before="156" w:beforeLines="50" w:line="360" w:lineRule="auto"/>
        <w:ind w:firstLine="315" w:firstLineChars="150"/>
        <w:rPr>
          <w:bCs/>
          <w:color w:val="auto"/>
          <w:highlight w:val="none"/>
        </w:rPr>
      </w:pPr>
      <w:r>
        <w:rPr>
          <w:rFonts w:hint="eastAsia"/>
          <w:bCs/>
          <w:color w:val="auto"/>
          <w:highlight w:val="none"/>
          <w:lang w:eastAsia="zh"/>
          <w:woUserID w:val="3"/>
        </w:rPr>
        <w:t>3</w:t>
      </w:r>
      <w:r>
        <w:rPr>
          <w:bCs/>
          <w:color w:val="auto"/>
          <w:highlight w:val="none"/>
        </w:rPr>
        <w:t xml:space="preserve"> </w:t>
      </w:r>
      <w:r>
        <w:rPr>
          <w:rFonts w:hint="eastAsia"/>
          <w:bCs/>
          <w:color w:val="auto"/>
          <w:highlight w:val="none"/>
        </w:rPr>
        <w:t>不同规格尺寸的试件均可以通过水中称重法测定试件体积，具体应按下列方法进行：</w:t>
      </w:r>
    </w:p>
    <w:p w14:paraId="2E8771BF">
      <w:pPr>
        <w:pStyle w:val="53"/>
        <w:kinsoku/>
        <w:overflowPunct/>
        <w:bidi w:val="0"/>
        <w:spacing w:line="360" w:lineRule="auto"/>
        <w:rPr>
          <w:color w:val="auto"/>
          <w:highlight w:val="none"/>
        </w:rPr>
      </w:pPr>
      <w:r>
        <w:rPr>
          <w:color w:val="auto"/>
          <w:highlight w:val="none"/>
        </w:rPr>
        <w:t>1）首先将试件完全浸泡在（20±2）℃的水中充分饱水，待无气泡出现时，测定试件在水中的质量</w:t>
      </w:r>
      <w:r>
        <w:rPr>
          <w:i/>
          <w:color w:val="auto"/>
          <w:highlight w:val="none"/>
        </w:rPr>
        <w:t>m</w:t>
      </w:r>
      <w:r>
        <w:rPr>
          <w:i/>
          <w:color w:val="auto"/>
          <w:highlight w:val="none"/>
          <w:vertAlign w:val="subscript"/>
        </w:rPr>
        <w:t>w</w:t>
      </w:r>
      <w:r>
        <w:rPr>
          <w:color w:val="auto"/>
          <w:highlight w:val="none"/>
        </w:rPr>
        <w:t>，水中测试试件质量如图6.12.4所示。</w:t>
      </w:r>
    </w:p>
    <w:p w14:paraId="760C9150">
      <w:pPr>
        <w:kinsoku/>
        <w:overflowPunct/>
        <w:bidi w:val="0"/>
        <w:spacing w:before="156" w:beforeLines="50" w:line="360" w:lineRule="auto"/>
        <w:jc w:val="center"/>
        <w:rPr>
          <w:color w:val="auto"/>
          <w:highlight w:val="none"/>
        </w:rPr>
      </w:pPr>
      <w:r>
        <w:rPr>
          <w:color w:val="auto"/>
          <w:highlight w:val="none"/>
        </w:rPr>
        <mc:AlternateContent>
          <mc:Choice Requires="wpg">
            <w:drawing>
              <wp:inline distT="0" distB="0" distL="0" distR="0">
                <wp:extent cx="3103880" cy="1978660"/>
                <wp:effectExtent l="12700" t="17145" r="0" b="13970"/>
                <wp:docPr id="1275588082" name="组合 10"/>
                <wp:cNvGraphicFramePr/>
                <a:graphic xmlns:a="http://schemas.openxmlformats.org/drawingml/2006/main">
                  <a:graphicData uri="http://schemas.microsoft.com/office/word/2010/wordprocessingGroup">
                    <wpg:wgp>
                      <wpg:cNvGrpSpPr/>
                      <wpg:grpSpPr>
                        <a:xfrm>
                          <a:off x="0" y="0"/>
                          <a:ext cx="3103880" cy="1978660"/>
                          <a:chOff x="1128" y="0"/>
                          <a:chExt cx="31038" cy="19789"/>
                        </a:xfrm>
                      </wpg:grpSpPr>
                      <wps:wsp>
                        <wps:cNvPr id="710544299" name="直接连接符 42"/>
                        <wps:cNvCnPr>
                          <a:cxnSpLocks noChangeShapeType="1"/>
                        </wps:cNvCnPr>
                        <wps:spPr bwMode="auto">
                          <a:xfrm>
                            <a:off x="23694" y="4253"/>
                            <a:ext cx="6541" cy="0"/>
                          </a:xfrm>
                          <a:prstGeom prst="line">
                            <a:avLst/>
                          </a:prstGeom>
                          <a:noFill/>
                          <a:ln w="3175">
                            <a:solidFill>
                              <a:srgbClr val="000000"/>
                            </a:solidFill>
                            <a:round/>
                          </a:ln>
                        </wps:spPr>
                        <wps:bodyPr/>
                      </wps:wsp>
                      <wps:wsp>
                        <wps:cNvPr id="725496799" name="直接连接符 44"/>
                        <wps:cNvCnPr>
                          <a:cxnSpLocks noChangeShapeType="1"/>
                        </wps:cNvCnPr>
                        <wps:spPr bwMode="auto">
                          <a:xfrm>
                            <a:off x="23655" y="10893"/>
                            <a:ext cx="6591" cy="0"/>
                          </a:xfrm>
                          <a:prstGeom prst="line">
                            <a:avLst/>
                          </a:prstGeom>
                          <a:noFill/>
                          <a:ln w="3175">
                            <a:solidFill>
                              <a:srgbClr val="000000"/>
                            </a:solidFill>
                            <a:round/>
                          </a:ln>
                        </wps:spPr>
                        <wps:bodyPr/>
                      </wps:wsp>
                      <wpg:grpSp>
                        <wpg:cNvPr id="1870721768" name="组合 48"/>
                        <wpg:cNvGrpSpPr/>
                        <wpg:grpSpPr>
                          <a:xfrm>
                            <a:off x="1128" y="0"/>
                            <a:ext cx="31038" cy="19789"/>
                            <a:chOff x="1128" y="0"/>
                            <a:chExt cx="31037" cy="19789"/>
                          </a:xfrm>
                        </wpg:grpSpPr>
                        <wpg:grpSp>
                          <wpg:cNvPr id="1341021821" name="组合 47"/>
                          <wpg:cNvGrpSpPr/>
                          <wpg:grpSpPr>
                            <a:xfrm>
                              <a:off x="1128" y="0"/>
                              <a:ext cx="24237" cy="19789"/>
                              <a:chOff x="1128" y="0"/>
                              <a:chExt cx="24237" cy="19789"/>
                            </a:xfrm>
                          </wpg:grpSpPr>
                          <wpg:grpSp>
                            <wpg:cNvPr id="583743788" name="组合 46"/>
                            <wpg:cNvGrpSpPr/>
                            <wpg:grpSpPr>
                              <a:xfrm>
                                <a:off x="8193" y="0"/>
                                <a:ext cx="10211" cy="16567"/>
                                <a:chOff x="0" y="0"/>
                                <a:chExt cx="10210" cy="16567"/>
                              </a:xfrm>
                            </wpg:grpSpPr>
                            <wps:wsp>
                              <wps:cNvPr id="1615796608" name="矩形 1"/>
                              <wps:cNvSpPr>
                                <a:spLocks noChangeArrowheads="1"/>
                              </wps:cNvSpPr>
                              <wps:spPr bwMode="auto">
                                <a:xfrm>
                                  <a:off x="0" y="0"/>
                                  <a:ext cx="10210" cy="1778"/>
                                </a:xfrm>
                                <a:prstGeom prst="rect">
                                  <a:avLst/>
                                </a:prstGeom>
                                <a:noFill/>
                                <a:ln w="19050">
                                  <a:solidFill>
                                    <a:srgbClr val="000000"/>
                                  </a:solidFill>
                                  <a:miter lim="200000"/>
                                </a:ln>
                              </wps:spPr>
                              <wps:bodyPr rot="0" vert="horz" wrap="square" lIns="91440" tIns="45720" rIns="91440" bIns="45720" anchor="ctr" anchorCtr="0" upright="1">
                                <a:noAutofit/>
                              </wps:bodyPr>
                            </wps:wsp>
                            <wps:wsp>
                              <wps:cNvPr id="2039634290" name="直接连接符 2"/>
                              <wps:cNvCnPr>
                                <a:cxnSpLocks noChangeShapeType="1"/>
                              </wps:cNvCnPr>
                              <wps:spPr bwMode="auto">
                                <a:xfrm>
                                  <a:off x="5165" y="1781"/>
                                  <a:ext cx="0" cy="4692"/>
                                </a:xfrm>
                                <a:prstGeom prst="line">
                                  <a:avLst/>
                                </a:prstGeom>
                                <a:noFill/>
                                <a:ln w="19050">
                                  <a:solidFill>
                                    <a:srgbClr val="000000"/>
                                  </a:solidFill>
                                  <a:round/>
                                </a:ln>
                              </wps:spPr>
                              <wps:bodyPr/>
                            </wps:wsp>
                            <wps:wsp>
                              <wps:cNvPr id="348955607" name="直接连接符 3"/>
                              <wps:cNvCnPr>
                                <a:cxnSpLocks noChangeShapeType="1"/>
                              </wps:cNvCnPr>
                              <wps:spPr bwMode="auto">
                                <a:xfrm flipH="1">
                                  <a:off x="4275" y="6472"/>
                                  <a:ext cx="889" cy="1181"/>
                                </a:xfrm>
                                <a:prstGeom prst="line">
                                  <a:avLst/>
                                </a:prstGeom>
                                <a:noFill/>
                                <a:ln w="19050">
                                  <a:solidFill>
                                    <a:srgbClr val="000000"/>
                                  </a:solidFill>
                                  <a:round/>
                                </a:ln>
                              </wps:spPr>
                              <wps:bodyPr/>
                            </wps:wsp>
                            <wps:wsp>
                              <wps:cNvPr id="1931683149" name="直接连接符 4"/>
                              <wps:cNvCnPr>
                                <a:cxnSpLocks noChangeShapeType="1"/>
                              </wps:cNvCnPr>
                              <wps:spPr bwMode="auto">
                                <a:xfrm>
                                  <a:off x="4275" y="7659"/>
                                  <a:ext cx="1898" cy="0"/>
                                </a:xfrm>
                                <a:prstGeom prst="line">
                                  <a:avLst/>
                                </a:prstGeom>
                                <a:noFill/>
                                <a:ln w="19050">
                                  <a:solidFill>
                                    <a:srgbClr val="000000"/>
                                  </a:solidFill>
                                  <a:round/>
                                </a:ln>
                              </wps:spPr>
                              <wps:bodyPr/>
                            </wps:wsp>
                            <wps:wsp>
                              <wps:cNvPr id="878892314" name="直接连接符 5"/>
                              <wps:cNvCnPr>
                                <a:cxnSpLocks noChangeShapeType="1"/>
                              </wps:cNvCnPr>
                              <wps:spPr bwMode="auto">
                                <a:xfrm>
                                  <a:off x="5165" y="7659"/>
                                  <a:ext cx="0" cy="1835"/>
                                </a:xfrm>
                                <a:prstGeom prst="line">
                                  <a:avLst/>
                                </a:prstGeom>
                                <a:noFill/>
                                <a:ln w="19050">
                                  <a:solidFill>
                                    <a:srgbClr val="000000"/>
                                  </a:solidFill>
                                  <a:round/>
                                </a:ln>
                              </wps:spPr>
                              <wps:bodyPr/>
                            </wps:wsp>
                            <wps:wsp>
                              <wps:cNvPr id="939251004" name="矩形 6"/>
                              <wps:cNvSpPr>
                                <a:spLocks noChangeArrowheads="1"/>
                              </wps:cNvSpPr>
                              <wps:spPr bwMode="auto">
                                <a:xfrm>
                                  <a:off x="1306" y="9500"/>
                                  <a:ext cx="7772" cy="7067"/>
                                </a:xfrm>
                                <a:prstGeom prst="rect">
                                  <a:avLst/>
                                </a:prstGeom>
                                <a:noFill/>
                                <a:ln w="19050">
                                  <a:solidFill>
                                    <a:srgbClr val="000000"/>
                                  </a:solidFill>
                                  <a:miter lim="200000"/>
                                </a:ln>
                              </wps:spPr>
                              <wps:bodyPr rot="0" vert="horz" wrap="square" lIns="91440" tIns="45720" rIns="91440" bIns="45720" anchor="ctr" anchorCtr="0" upright="1">
                                <a:noAutofit/>
                              </wps:bodyPr>
                            </wps:wsp>
                          </wpg:grpSp>
                          <wps:wsp>
                            <wps:cNvPr id="2131065878" name="直接连接符 7"/>
                            <wps:cNvCnPr>
                              <a:cxnSpLocks noChangeShapeType="1"/>
                            </wps:cNvCnPr>
                            <wps:spPr bwMode="auto">
                              <a:xfrm>
                                <a:off x="1128" y="17988"/>
                                <a:ext cx="24237" cy="0"/>
                              </a:xfrm>
                              <a:prstGeom prst="line">
                                <a:avLst/>
                              </a:prstGeom>
                              <a:noFill/>
                              <a:ln w="19050">
                                <a:solidFill>
                                  <a:srgbClr val="000000"/>
                                </a:solidFill>
                                <a:round/>
                              </a:ln>
                            </wps:spPr>
                            <wps:bodyPr/>
                          </wps:wsp>
                          <wps:wsp>
                            <wps:cNvPr id="277118138" name="直接连接符 8"/>
                            <wps:cNvCnPr>
                              <a:cxnSpLocks noChangeShapeType="1"/>
                            </wps:cNvCnPr>
                            <wps:spPr bwMode="auto">
                              <a:xfrm flipV="1">
                                <a:off x="5937" y="8550"/>
                                <a:ext cx="0" cy="9441"/>
                              </a:xfrm>
                              <a:prstGeom prst="line">
                                <a:avLst/>
                              </a:prstGeom>
                              <a:noFill/>
                              <a:ln w="19050">
                                <a:solidFill>
                                  <a:srgbClr val="000000"/>
                                </a:solidFill>
                                <a:round/>
                              </a:ln>
                            </wps:spPr>
                            <wps:bodyPr/>
                          </wps:wsp>
                          <wps:wsp>
                            <wps:cNvPr id="2119508605" name="直接连接符 9"/>
                            <wps:cNvCnPr>
                              <a:cxnSpLocks noChangeShapeType="1"/>
                            </wps:cNvCnPr>
                            <wps:spPr bwMode="auto">
                              <a:xfrm flipH="1">
                                <a:off x="5165" y="8550"/>
                                <a:ext cx="772" cy="944"/>
                              </a:xfrm>
                              <a:prstGeom prst="line">
                                <a:avLst/>
                              </a:prstGeom>
                              <a:noFill/>
                              <a:ln w="19050">
                                <a:solidFill>
                                  <a:srgbClr val="000000"/>
                                </a:solidFill>
                                <a:round/>
                              </a:ln>
                            </wps:spPr>
                            <wps:bodyPr/>
                          </wps:wsp>
                          <wps:wsp>
                            <wps:cNvPr id="1926072217" name="直接连接符 10"/>
                            <wps:cNvCnPr>
                              <a:cxnSpLocks noChangeShapeType="1"/>
                            </wps:cNvCnPr>
                            <wps:spPr bwMode="auto">
                              <a:xfrm flipV="1">
                                <a:off x="5165" y="7659"/>
                                <a:ext cx="769" cy="1835"/>
                              </a:xfrm>
                              <a:prstGeom prst="line">
                                <a:avLst/>
                              </a:prstGeom>
                              <a:noFill/>
                              <a:ln w="19050">
                                <a:solidFill>
                                  <a:srgbClr val="000000"/>
                                </a:solidFill>
                                <a:round/>
                              </a:ln>
                            </wps:spPr>
                            <wps:bodyPr/>
                          </wps:wsp>
                          <wps:wsp>
                            <wps:cNvPr id="1731752475" name="直接连接符 11"/>
                            <wps:cNvCnPr>
                              <a:cxnSpLocks noChangeShapeType="1"/>
                            </wps:cNvCnPr>
                            <wps:spPr bwMode="auto">
                              <a:xfrm flipV="1">
                                <a:off x="5937" y="5462"/>
                                <a:ext cx="0" cy="2197"/>
                              </a:xfrm>
                              <a:prstGeom prst="line">
                                <a:avLst/>
                              </a:prstGeom>
                              <a:noFill/>
                              <a:ln w="19050">
                                <a:solidFill>
                                  <a:srgbClr val="000000"/>
                                </a:solidFill>
                                <a:round/>
                              </a:ln>
                            </wps:spPr>
                            <wps:bodyPr/>
                          </wps:wsp>
                          <wps:wsp>
                            <wps:cNvPr id="2097191960" name="直接连接符 12"/>
                            <wps:cNvCnPr>
                              <a:cxnSpLocks noChangeShapeType="1"/>
                            </wps:cNvCnPr>
                            <wps:spPr bwMode="auto">
                              <a:xfrm flipV="1">
                                <a:off x="20781" y="5462"/>
                                <a:ext cx="0" cy="12459"/>
                              </a:xfrm>
                              <a:prstGeom prst="line">
                                <a:avLst/>
                              </a:prstGeom>
                              <a:noFill/>
                              <a:ln w="19050">
                                <a:solidFill>
                                  <a:srgbClr val="000000"/>
                                </a:solidFill>
                                <a:round/>
                              </a:ln>
                            </wps:spPr>
                            <wps:bodyPr/>
                          </wps:wsp>
                          <wps:wsp>
                            <wps:cNvPr id="1559433744" name="直接连接符 13"/>
                            <wps:cNvCnPr>
                              <a:cxnSpLocks noChangeShapeType="1"/>
                            </wps:cNvCnPr>
                            <wps:spPr bwMode="auto">
                              <a:xfrm>
                                <a:off x="5937" y="8550"/>
                                <a:ext cx="14846" cy="0"/>
                              </a:xfrm>
                              <a:prstGeom prst="line">
                                <a:avLst/>
                              </a:prstGeom>
                              <a:noFill/>
                              <a:ln w="3175">
                                <a:solidFill>
                                  <a:srgbClr val="000000"/>
                                </a:solidFill>
                                <a:round/>
                              </a:ln>
                            </wps:spPr>
                            <wps:bodyPr/>
                          </wps:wsp>
                          <wps:wsp>
                            <wps:cNvPr id="402083482" name="直接连接符 14"/>
                            <wps:cNvCnPr>
                              <a:cxnSpLocks noChangeShapeType="1"/>
                            </wps:cNvCnPr>
                            <wps:spPr bwMode="auto">
                              <a:xfrm>
                                <a:off x="6353" y="8965"/>
                                <a:ext cx="1556" cy="0"/>
                              </a:xfrm>
                              <a:prstGeom prst="line">
                                <a:avLst/>
                              </a:prstGeom>
                              <a:noFill/>
                              <a:ln w="3175">
                                <a:solidFill>
                                  <a:srgbClr val="000000"/>
                                </a:solidFill>
                                <a:round/>
                              </a:ln>
                            </wps:spPr>
                            <wps:bodyPr/>
                          </wps:wsp>
                          <wps:wsp>
                            <wps:cNvPr id="80065157" name="直接连接符 15"/>
                            <wps:cNvCnPr>
                              <a:cxnSpLocks noChangeShapeType="1"/>
                            </wps:cNvCnPr>
                            <wps:spPr bwMode="auto">
                              <a:xfrm>
                                <a:off x="6650" y="9144"/>
                                <a:ext cx="901" cy="0"/>
                              </a:xfrm>
                              <a:prstGeom prst="line">
                                <a:avLst/>
                              </a:prstGeom>
                              <a:noFill/>
                              <a:ln w="3175">
                                <a:solidFill>
                                  <a:srgbClr val="000000"/>
                                </a:solidFill>
                                <a:round/>
                              </a:ln>
                            </wps:spPr>
                            <wps:bodyPr/>
                          </wps:wsp>
                          <wps:wsp>
                            <wps:cNvPr id="1912214127" name="直接连接符 17"/>
                            <wps:cNvCnPr>
                              <a:cxnSpLocks noChangeShapeType="1"/>
                            </wps:cNvCnPr>
                            <wps:spPr bwMode="auto">
                              <a:xfrm flipH="1">
                                <a:off x="1128" y="17931"/>
                                <a:ext cx="1092" cy="1734"/>
                              </a:xfrm>
                              <a:prstGeom prst="line">
                                <a:avLst/>
                              </a:prstGeom>
                              <a:noFill/>
                              <a:ln w="3175">
                                <a:solidFill>
                                  <a:srgbClr val="000000"/>
                                </a:solidFill>
                                <a:round/>
                              </a:ln>
                            </wps:spPr>
                            <wps:bodyPr/>
                          </wps:wsp>
                          <wps:wsp>
                            <wps:cNvPr id="80570925" name="直接连接符 18"/>
                            <wps:cNvCnPr>
                              <a:cxnSpLocks noChangeShapeType="1"/>
                            </wps:cNvCnPr>
                            <wps:spPr bwMode="auto">
                              <a:xfrm flipH="1">
                                <a:off x="2256" y="17991"/>
                                <a:ext cx="1096" cy="1739"/>
                              </a:xfrm>
                              <a:prstGeom prst="line">
                                <a:avLst/>
                              </a:prstGeom>
                              <a:noFill/>
                              <a:ln w="3175">
                                <a:solidFill>
                                  <a:srgbClr val="000000"/>
                                </a:solidFill>
                                <a:round/>
                              </a:ln>
                            </wps:spPr>
                            <wps:bodyPr/>
                          </wps:wsp>
                          <wps:wsp>
                            <wps:cNvPr id="572326084" name="直接连接符 19"/>
                            <wps:cNvCnPr>
                              <a:cxnSpLocks noChangeShapeType="1"/>
                            </wps:cNvCnPr>
                            <wps:spPr bwMode="auto">
                              <a:xfrm flipH="1">
                                <a:off x="3384" y="17991"/>
                                <a:ext cx="1096" cy="1739"/>
                              </a:xfrm>
                              <a:prstGeom prst="line">
                                <a:avLst/>
                              </a:prstGeom>
                              <a:noFill/>
                              <a:ln w="3175">
                                <a:solidFill>
                                  <a:srgbClr val="000000"/>
                                </a:solidFill>
                                <a:round/>
                              </a:ln>
                            </wps:spPr>
                            <wps:bodyPr/>
                          </wps:wsp>
                          <wps:wsp>
                            <wps:cNvPr id="1697707419" name="直接连接符 20"/>
                            <wps:cNvCnPr>
                              <a:cxnSpLocks noChangeShapeType="1"/>
                            </wps:cNvCnPr>
                            <wps:spPr bwMode="auto">
                              <a:xfrm flipH="1">
                                <a:off x="4393" y="18050"/>
                                <a:ext cx="1093" cy="1734"/>
                              </a:xfrm>
                              <a:prstGeom prst="line">
                                <a:avLst/>
                              </a:prstGeom>
                              <a:noFill/>
                              <a:ln w="3175">
                                <a:solidFill>
                                  <a:srgbClr val="000000"/>
                                </a:solidFill>
                                <a:round/>
                              </a:ln>
                            </wps:spPr>
                            <wps:bodyPr/>
                          </wps:wsp>
                          <wps:wsp>
                            <wps:cNvPr id="1246621813" name="直接连接符 21"/>
                            <wps:cNvCnPr>
                              <a:cxnSpLocks noChangeShapeType="1"/>
                            </wps:cNvCnPr>
                            <wps:spPr bwMode="auto">
                              <a:xfrm flipH="1">
                                <a:off x="5462" y="17991"/>
                                <a:ext cx="1092" cy="1733"/>
                              </a:xfrm>
                              <a:prstGeom prst="line">
                                <a:avLst/>
                              </a:prstGeom>
                              <a:noFill/>
                              <a:ln w="3175">
                                <a:solidFill>
                                  <a:srgbClr val="000000"/>
                                </a:solidFill>
                                <a:round/>
                              </a:ln>
                            </wps:spPr>
                            <wps:bodyPr/>
                          </wps:wsp>
                          <wps:wsp>
                            <wps:cNvPr id="814815350" name="直接连接符 22"/>
                            <wps:cNvCnPr>
                              <a:cxnSpLocks noChangeShapeType="1"/>
                            </wps:cNvCnPr>
                            <wps:spPr bwMode="auto">
                              <a:xfrm flipH="1">
                                <a:off x="6590" y="17991"/>
                                <a:ext cx="1093" cy="1733"/>
                              </a:xfrm>
                              <a:prstGeom prst="line">
                                <a:avLst/>
                              </a:prstGeom>
                              <a:noFill/>
                              <a:ln w="3175">
                                <a:solidFill>
                                  <a:srgbClr val="000000"/>
                                </a:solidFill>
                                <a:round/>
                              </a:ln>
                            </wps:spPr>
                            <wps:bodyPr/>
                          </wps:wsp>
                          <wps:wsp>
                            <wps:cNvPr id="1955717676" name="直接连接符 23"/>
                            <wps:cNvCnPr>
                              <a:cxnSpLocks noChangeShapeType="1"/>
                            </wps:cNvCnPr>
                            <wps:spPr bwMode="auto">
                              <a:xfrm flipH="1">
                                <a:off x="7718" y="17991"/>
                                <a:ext cx="1093" cy="1733"/>
                              </a:xfrm>
                              <a:prstGeom prst="line">
                                <a:avLst/>
                              </a:prstGeom>
                              <a:noFill/>
                              <a:ln w="3175">
                                <a:solidFill>
                                  <a:srgbClr val="000000"/>
                                </a:solidFill>
                                <a:round/>
                              </a:ln>
                            </wps:spPr>
                            <wps:bodyPr/>
                          </wps:wsp>
                          <wps:wsp>
                            <wps:cNvPr id="342929539" name="直接连接符 24"/>
                            <wps:cNvCnPr>
                              <a:cxnSpLocks noChangeShapeType="1"/>
                            </wps:cNvCnPr>
                            <wps:spPr bwMode="auto">
                              <a:xfrm flipH="1">
                                <a:off x="9025" y="17991"/>
                                <a:ext cx="1096" cy="1739"/>
                              </a:xfrm>
                              <a:prstGeom prst="line">
                                <a:avLst/>
                              </a:prstGeom>
                              <a:noFill/>
                              <a:ln w="3175">
                                <a:solidFill>
                                  <a:srgbClr val="000000"/>
                                </a:solidFill>
                                <a:round/>
                              </a:ln>
                            </wps:spPr>
                            <wps:bodyPr/>
                          </wps:wsp>
                          <wps:wsp>
                            <wps:cNvPr id="1764053958" name="直接连接符 25"/>
                            <wps:cNvCnPr>
                              <a:cxnSpLocks noChangeShapeType="1"/>
                            </wps:cNvCnPr>
                            <wps:spPr bwMode="auto">
                              <a:xfrm flipH="1">
                                <a:off x="10094" y="17931"/>
                                <a:ext cx="1092" cy="1734"/>
                              </a:xfrm>
                              <a:prstGeom prst="line">
                                <a:avLst/>
                              </a:prstGeom>
                              <a:noFill/>
                              <a:ln w="3175">
                                <a:solidFill>
                                  <a:srgbClr val="000000"/>
                                </a:solidFill>
                                <a:round/>
                              </a:ln>
                            </wps:spPr>
                            <wps:bodyPr/>
                          </wps:wsp>
                          <wps:wsp>
                            <wps:cNvPr id="1716817618" name="直接连接符 26"/>
                            <wps:cNvCnPr>
                              <a:cxnSpLocks noChangeShapeType="1"/>
                            </wps:cNvCnPr>
                            <wps:spPr bwMode="auto">
                              <a:xfrm flipH="1">
                                <a:off x="11222" y="17991"/>
                                <a:ext cx="1092" cy="1733"/>
                              </a:xfrm>
                              <a:prstGeom prst="line">
                                <a:avLst/>
                              </a:prstGeom>
                              <a:noFill/>
                              <a:ln w="3175">
                                <a:solidFill>
                                  <a:srgbClr val="000000"/>
                                </a:solidFill>
                                <a:round/>
                              </a:ln>
                            </wps:spPr>
                            <wps:bodyPr/>
                          </wps:wsp>
                          <wps:wsp>
                            <wps:cNvPr id="721830896" name="直接连接符 27"/>
                            <wps:cNvCnPr>
                              <a:cxnSpLocks noChangeShapeType="1"/>
                            </wps:cNvCnPr>
                            <wps:spPr bwMode="auto">
                              <a:xfrm flipH="1">
                                <a:off x="12350" y="17991"/>
                                <a:ext cx="1092" cy="1733"/>
                              </a:xfrm>
                              <a:prstGeom prst="line">
                                <a:avLst/>
                              </a:prstGeom>
                              <a:noFill/>
                              <a:ln w="3175">
                                <a:solidFill>
                                  <a:srgbClr val="000000"/>
                                </a:solidFill>
                                <a:round/>
                              </a:ln>
                            </wps:spPr>
                            <wps:bodyPr/>
                          </wps:wsp>
                          <wps:wsp>
                            <wps:cNvPr id="1472638435" name="直接连接符 28"/>
                            <wps:cNvCnPr>
                              <a:cxnSpLocks noChangeShapeType="1"/>
                            </wps:cNvCnPr>
                            <wps:spPr bwMode="auto">
                              <a:xfrm flipH="1">
                                <a:off x="13597" y="18050"/>
                                <a:ext cx="1096" cy="1739"/>
                              </a:xfrm>
                              <a:prstGeom prst="line">
                                <a:avLst/>
                              </a:prstGeom>
                              <a:noFill/>
                              <a:ln w="3175">
                                <a:solidFill>
                                  <a:srgbClr val="000000"/>
                                </a:solidFill>
                                <a:round/>
                              </a:ln>
                            </wps:spPr>
                            <wps:bodyPr/>
                          </wps:wsp>
                          <wps:wsp>
                            <wps:cNvPr id="1087094279" name="直接连接符 29"/>
                            <wps:cNvCnPr>
                              <a:cxnSpLocks noChangeShapeType="1"/>
                            </wps:cNvCnPr>
                            <wps:spPr bwMode="auto">
                              <a:xfrm flipH="1">
                                <a:off x="14725" y="17991"/>
                                <a:ext cx="1092" cy="1733"/>
                              </a:xfrm>
                              <a:prstGeom prst="line">
                                <a:avLst/>
                              </a:prstGeom>
                              <a:noFill/>
                              <a:ln w="3175">
                                <a:solidFill>
                                  <a:srgbClr val="000000"/>
                                </a:solidFill>
                                <a:round/>
                              </a:ln>
                            </wps:spPr>
                            <wps:bodyPr/>
                          </wps:wsp>
                          <wps:wsp>
                            <wps:cNvPr id="1767325194" name="直接连接符 30"/>
                            <wps:cNvCnPr>
                              <a:cxnSpLocks noChangeShapeType="1"/>
                            </wps:cNvCnPr>
                            <wps:spPr bwMode="auto">
                              <a:xfrm flipH="1">
                                <a:off x="15853" y="18050"/>
                                <a:ext cx="1092" cy="1734"/>
                              </a:xfrm>
                              <a:prstGeom prst="line">
                                <a:avLst/>
                              </a:prstGeom>
                              <a:noFill/>
                              <a:ln w="3175">
                                <a:solidFill>
                                  <a:srgbClr val="000000"/>
                                </a:solidFill>
                                <a:round/>
                              </a:ln>
                            </wps:spPr>
                            <wps:bodyPr/>
                          </wps:wsp>
                          <wps:wsp>
                            <wps:cNvPr id="1000195374" name="直接连接符 31"/>
                            <wps:cNvCnPr>
                              <a:cxnSpLocks noChangeShapeType="1"/>
                            </wps:cNvCnPr>
                            <wps:spPr bwMode="auto">
                              <a:xfrm flipH="1">
                                <a:off x="16981" y="18050"/>
                                <a:ext cx="1092" cy="1734"/>
                              </a:xfrm>
                              <a:prstGeom prst="line">
                                <a:avLst/>
                              </a:prstGeom>
                              <a:noFill/>
                              <a:ln w="3175">
                                <a:solidFill>
                                  <a:srgbClr val="000000"/>
                                </a:solidFill>
                                <a:round/>
                              </a:ln>
                            </wps:spPr>
                            <wps:bodyPr/>
                          </wps:wsp>
                          <wps:wsp>
                            <wps:cNvPr id="807010042" name="直接连接符 32"/>
                            <wps:cNvCnPr>
                              <a:cxnSpLocks noChangeShapeType="1"/>
                            </wps:cNvCnPr>
                            <wps:spPr bwMode="auto">
                              <a:xfrm flipH="1">
                                <a:off x="18228" y="17931"/>
                                <a:ext cx="1097" cy="1739"/>
                              </a:xfrm>
                              <a:prstGeom prst="line">
                                <a:avLst/>
                              </a:prstGeom>
                              <a:noFill/>
                              <a:ln w="3175">
                                <a:solidFill>
                                  <a:srgbClr val="000000"/>
                                </a:solidFill>
                                <a:round/>
                              </a:ln>
                            </wps:spPr>
                            <wps:bodyPr/>
                          </wps:wsp>
                          <wps:wsp>
                            <wps:cNvPr id="1123016347" name="直接连接符 33"/>
                            <wps:cNvCnPr>
                              <a:cxnSpLocks noChangeShapeType="1"/>
                            </wps:cNvCnPr>
                            <wps:spPr bwMode="auto">
                              <a:xfrm flipH="1">
                                <a:off x="19297" y="17872"/>
                                <a:ext cx="1092" cy="1733"/>
                              </a:xfrm>
                              <a:prstGeom prst="line">
                                <a:avLst/>
                              </a:prstGeom>
                              <a:noFill/>
                              <a:ln w="3175">
                                <a:solidFill>
                                  <a:srgbClr val="000000"/>
                                </a:solidFill>
                                <a:round/>
                              </a:ln>
                            </wps:spPr>
                            <wps:bodyPr/>
                          </wps:wsp>
                          <wps:wsp>
                            <wps:cNvPr id="1254336648" name="直接连接符 34"/>
                            <wps:cNvCnPr>
                              <a:cxnSpLocks noChangeShapeType="1"/>
                            </wps:cNvCnPr>
                            <wps:spPr bwMode="auto">
                              <a:xfrm flipH="1">
                                <a:off x="20425" y="17931"/>
                                <a:ext cx="1092" cy="1734"/>
                              </a:xfrm>
                              <a:prstGeom prst="line">
                                <a:avLst/>
                              </a:prstGeom>
                              <a:noFill/>
                              <a:ln w="3175">
                                <a:solidFill>
                                  <a:srgbClr val="000000"/>
                                </a:solidFill>
                                <a:round/>
                              </a:ln>
                            </wps:spPr>
                            <wps:bodyPr/>
                          </wps:wsp>
                          <wps:wsp>
                            <wps:cNvPr id="1749990972" name="直接连接符 35"/>
                            <wps:cNvCnPr>
                              <a:cxnSpLocks noChangeShapeType="1"/>
                            </wps:cNvCnPr>
                            <wps:spPr bwMode="auto">
                              <a:xfrm flipH="1">
                                <a:off x="21494" y="17931"/>
                                <a:ext cx="1092" cy="1734"/>
                              </a:xfrm>
                              <a:prstGeom prst="line">
                                <a:avLst/>
                              </a:prstGeom>
                              <a:noFill/>
                              <a:ln w="3175">
                                <a:solidFill>
                                  <a:srgbClr val="000000"/>
                                </a:solidFill>
                                <a:round/>
                              </a:ln>
                            </wps:spPr>
                            <wps:bodyPr/>
                          </wps:wsp>
                          <wps:wsp>
                            <wps:cNvPr id="665601449" name="直接连接符 36"/>
                            <wps:cNvCnPr>
                              <a:cxnSpLocks noChangeShapeType="1"/>
                            </wps:cNvCnPr>
                            <wps:spPr bwMode="auto">
                              <a:xfrm flipH="1">
                                <a:off x="22563" y="17931"/>
                                <a:ext cx="1092" cy="1734"/>
                              </a:xfrm>
                              <a:prstGeom prst="line">
                                <a:avLst/>
                              </a:prstGeom>
                              <a:noFill/>
                              <a:ln w="3175">
                                <a:solidFill>
                                  <a:srgbClr val="000000"/>
                                </a:solidFill>
                                <a:round/>
                              </a:ln>
                            </wps:spPr>
                            <wps:bodyPr/>
                          </wps:wsp>
                          <wps:wsp>
                            <wps:cNvPr id="494052635" name="直接连接符 37"/>
                            <wps:cNvCnPr>
                              <a:cxnSpLocks noChangeShapeType="1"/>
                            </wps:cNvCnPr>
                            <wps:spPr bwMode="auto">
                              <a:xfrm flipH="1">
                                <a:off x="23691" y="17872"/>
                                <a:ext cx="1092" cy="1733"/>
                              </a:xfrm>
                              <a:prstGeom prst="line">
                                <a:avLst/>
                              </a:prstGeom>
                              <a:noFill/>
                              <a:ln w="3175">
                                <a:solidFill>
                                  <a:srgbClr val="000000"/>
                                </a:solidFill>
                                <a:round/>
                              </a:ln>
                            </wps:spPr>
                            <wps:bodyPr/>
                          </wps:wsp>
                        </wpg:grpSp>
                        <wps:wsp>
                          <wps:cNvPr id="779597011" name="直接连接符 41"/>
                          <wps:cNvCnPr>
                            <a:cxnSpLocks noChangeShapeType="1"/>
                          </wps:cNvCnPr>
                          <wps:spPr bwMode="auto">
                            <a:xfrm>
                              <a:off x="16538" y="834"/>
                              <a:ext cx="7176" cy="3429"/>
                            </a:xfrm>
                            <a:prstGeom prst="line">
                              <a:avLst/>
                            </a:prstGeom>
                            <a:noFill/>
                            <a:ln w="3175">
                              <a:solidFill>
                                <a:srgbClr val="000000"/>
                              </a:solidFill>
                              <a:round/>
                            </a:ln>
                          </wps:spPr>
                          <wps:bodyPr/>
                        </wps:wsp>
                        <wps:wsp>
                          <wps:cNvPr id="2025968859" name="直接连接符 43"/>
                          <wps:cNvCnPr>
                            <a:cxnSpLocks noChangeShapeType="1"/>
                          </wps:cNvCnPr>
                          <wps:spPr bwMode="auto">
                            <a:xfrm flipV="1">
                              <a:off x="15067" y="10893"/>
                              <a:ext cx="8585" cy="3048"/>
                            </a:xfrm>
                            <a:prstGeom prst="line">
                              <a:avLst/>
                            </a:prstGeom>
                            <a:noFill/>
                            <a:ln w="3175">
                              <a:solidFill>
                                <a:srgbClr val="000000"/>
                              </a:solidFill>
                              <a:round/>
                            </a:ln>
                          </wps:spPr>
                          <wps:bodyPr/>
                        </wps:wsp>
                        <wps:wsp>
                          <wps:cNvPr id="170533345" name="文本框 2"/>
                          <wps:cNvSpPr txBox="1">
                            <a:spLocks noChangeArrowheads="1"/>
                          </wps:cNvSpPr>
                          <wps:spPr bwMode="auto">
                            <a:xfrm>
                              <a:off x="29733" y="2731"/>
                              <a:ext cx="2432" cy="2610"/>
                            </a:xfrm>
                            <a:prstGeom prst="rect">
                              <a:avLst/>
                            </a:prstGeom>
                            <a:noFill/>
                            <a:ln>
                              <a:noFill/>
                            </a:ln>
                          </wps:spPr>
                          <wps:txbx>
                            <w:txbxContent>
                              <w:p w14:paraId="5BF81732">
                                <w:r>
                                  <w:rPr>
                                    <w:rFonts w:hint="eastAsia"/>
                                  </w:rPr>
                                  <w:t>1</w:t>
                                </w:r>
                              </w:p>
                            </w:txbxContent>
                          </wps:txbx>
                          <wps:bodyPr rot="0" vert="horz" wrap="square" lIns="91440" tIns="45720" rIns="91440" bIns="45720" anchor="ctr" anchorCtr="0" upright="1">
                            <a:noAutofit/>
                          </wps:bodyPr>
                        </wps:wsp>
                        <wps:wsp>
                          <wps:cNvPr id="761622667" name="文本框 2"/>
                          <wps:cNvSpPr txBox="1">
                            <a:spLocks noChangeArrowheads="1"/>
                          </wps:cNvSpPr>
                          <wps:spPr bwMode="auto">
                            <a:xfrm>
                              <a:off x="29898" y="9310"/>
                              <a:ext cx="1956" cy="2896"/>
                            </a:xfrm>
                            <a:prstGeom prst="rect">
                              <a:avLst/>
                            </a:prstGeom>
                            <a:noFill/>
                            <a:ln>
                              <a:noFill/>
                            </a:ln>
                          </wps:spPr>
                          <wps:txbx>
                            <w:txbxContent>
                              <w:p w14:paraId="01FD743B">
                                <w:r>
                                  <w:rPr>
                                    <w:rFonts w:hint="eastAsia"/>
                                  </w:rPr>
                                  <w:t>2</w:t>
                                </w:r>
                              </w:p>
                            </w:txbxContent>
                          </wps:txbx>
                          <wps:bodyPr rot="0" vert="horz" wrap="square" lIns="91440" tIns="45720" rIns="91440" bIns="45720" anchor="ctr" anchorCtr="0" upright="1">
                            <a:noAutofit/>
                          </wps:bodyPr>
                        </wps:wsp>
                      </wpg:grpSp>
                    </wpg:wgp>
                  </a:graphicData>
                </a:graphic>
              </wp:inline>
            </w:drawing>
          </mc:Choice>
          <mc:Fallback>
            <w:pict>
              <v:group id="组合 10" o:spid="_x0000_s1026" o:spt="203" style="height:155.8pt;width:244.4pt;" coordorigin="1128,0" coordsize="31038,19789" o:gfxdata="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">
                <o:lock v:ext="edit" aspectratio="f"/>
                <v:line id="直接连接符 42" o:spid="_x0000_s1026" o:spt="20" style="position:absolute;left:23694;top:4253;height:0;width:6541;" filled="f" stroked="t" coordsize="21600,21600" o:gfxdata="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RCC0LFAAAA4g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直接连接符 44" o:spid="_x0000_s1026" o:spt="20" style="position:absolute;left:23655;top:10893;height:0;width:6591;" filled="f" stroked="t" coordsize="21600,21600" o:gfxdata="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zzbqfFAAAA4g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group id="组合 48" o:spid="_x0000_s1026" o:spt="203" style="position:absolute;left:1128;top:0;height:19789;width:31038;" coordorigin="1128,0" coordsize="31037,19789" o:gfxdata="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9IESzxQAAAOMAAAAPAAAAAAAAAAEAIAAAACIAAABkcnMvZG93&#10;bnJldi54bWxQSwECFAAUAAAACACHTuJAMy8FnjsAAAA5AAAAFQAAAAAAAAABACAAAAAUAQAAZHJz&#10;L2dyb3Vwc2hhcGV4bWwueG1sUEsFBgAAAAAGAAYAYAEAANEDAAAAAA==&#10;">
                  <o:lock v:ext="edit" aspectratio="f"/>
                  <v:group id="组合 47" o:spid="_x0000_s1026" o:spt="203" style="position:absolute;left:1128;top:0;height:19789;width:24237;" coordorigin="1128,0" coordsize="24237,19789" o:gfxdata="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cTJObBAAAA4wAAAA8AAAAAAAAAAQAgAAAAIgAAAGRycy9kb3ducmV2&#10;LnhtbFBLAQIUABQAAAAIAIdO4kAzLwWeOwAAADkAAAAVAAAAAAAAAAEAIAAAABABAABkcnMvZ3Jv&#10;dXBzaGFwZXhtbC54bWxQSwUGAAAAAAYABgBgAQAAzQMAAAAA&#10;">
                    <o:lock v:ext="edit" aspectratio="f"/>
                    <v:group id="组合 46" o:spid="_x0000_s1026" o:spt="203" style="position:absolute;left:8193;top:0;height:16567;width:10211;" coordsize="10210,16567" o:gfxdata="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jikmjBAAAA4gAAAA8AAAAAAAAAAQAgAAAAIgAAAGRycy9kb3ducmV2&#10;LnhtbFBLAQIUABQAAAAIAIdO4kAzLwWeOwAAADkAAAAVAAAAAAAAAAEAIAAAABABAABkcnMvZ3Jv&#10;dXBzaGFwZXhtbC54bWxQSwUGAAAAAAYABgBgAQAAzQMAAAAA&#10;">
                      <o:lock v:ext="edit" aspectratio="f"/>
                      <v:rect id="矩形 1" o:spid="_x0000_s1026" o:spt="1" style="position:absolute;left:0;top:0;height:1778;width:10210;v-text-anchor:middle;" filled="f" stroked="t" coordsize="21600,21600" o:gfxdata="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M14HMQAAADjAAAADwAAAAAAAAABACAAAAAiAAAAZHJzL2Rvd25yZXYueG1sUEsBAhQAFAAAAAgA&#10;h07iQDMvBZ47AAAAOQAAABAAAAAAAAAAAQAgAAAAEwEAAGRycy9zaGFwZXhtbC54bWxQSwUGAAAA&#10;AAYABgBbAQAAvQMAAAAA&#10;">
                        <v:fill on="f" focussize="0,0"/>
                        <v:stroke weight="1.5pt" color="#000000" miterlimit="2" joinstyle="miter"/>
                        <v:imagedata o:title=""/>
                        <o:lock v:ext="edit" aspectratio="f"/>
                      </v:rect>
                      <v:line id="直接连接符 2" o:spid="_x0000_s1026" o:spt="20" style="position:absolute;left:5165;top:1781;height:4692;width:0;" filled="f" stroked="t" coordsize="21600,21600" o:gfxdata="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G&#10;tfLwwwAAAOMAAAAPAAAAAAAAAAEAIAAAACIAAABkcnMvZG93bnJldi54bWxQSwECFAAUAAAACACH&#10;TuJAMy8FnjsAAAA5AAAAEAAAAAAAAAABACAAAAASAQAAZHJzL3NoYXBleG1sLnhtbFBLBQYAAAAA&#10;BgAGAFsBAAC8AwAAAAA=&#10;">
                        <v:fill on="f" focussize="0,0"/>
                        <v:stroke weight="1.5pt" color="#000000" joinstyle="round"/>
                        <v:imagedata o:title=""/>
                        <o:lock v:ext="edit" aspectratio="f"/>
                      </v:line>
                      <v:line id="直接连接符 3" o:spid="_x0000_s1026" o:spt="20" style="position:absolute;left:4275;top:6472;flip:x;height:1181;width:889;" filled="f" stroked="t" coordsize="21600,21600" o:gfxdata="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Y2s&#10;wAAAAOIAAAAPAAAAAAAAAAEAIAAAACIAAABkcnMvZG93bnJldi54bWxQSwECFAAUAAAACACHTuJA&#10;My8FnjsAAAA5AAAAEAAAAAAAAAABACAAAAAPAQAAZHJzL3NoYXBleG1sLnhtbFBLBQYAAAAABgAG&#10;AFsBAAC5AwAAAAA=&#10;">
                        <v:fill on="f" focussize="0,0"/>
                        <v:stroke weight="1.5pt" color="#000000" joinstyle="round"/>
                        <v:imagedata o:title=""/>
                        <o:lock v:ext="edit" aspectratio="f"/>
                      </v:line>
                      <v:line id="直接连接符 4" o:spid="_x0000_s1026" o:spt="20" style="position:absolute;left:4275;top:7659;height:0;width:1898;" filled="f" stroked="t" coordsize="21600,21600" o:gfxdata="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Lz8DwwAAAOMAAAAPAAAAAAAAAAEAIAAAACIAAABkcnMvZG93bnJldi54bWxQSwECFAAUAAAACACH&#10;TuJAMy8FnjsAAAA5AAAAEAAAAAAAAAABACAAAAASAQAAZHJzL3NoYXBleG1sLnhtbFBLBQYAAAAA&#10;BgAGAFsBAAC8AwAAAAA=&#10;">
                        <v:fill on="f" focussize="0,0"/>
                        <v:stroke weight="1.5pt" color="#000000" joinstyle="round"/>
                        <v:imagedata o:title=""/>
                        <o:lock v:ext="edit" aspectratio="f"/>
                      </v:line>
                      <v:line id="直接连接符 5" o:spid="_x0000_s1026" o:spt="20" style="position:absolute;left:5165;top:7659;height:1835;width:0;" filled="f" stroked="t" coordsize="21600,21600" o:gfxdata="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wY&#10;qdjCAAAA4gAAAA8AAAAAAAAAAQAgAAAAIgAAAGRycy9kb3ducmV2LnhtbFBLAQIUABQAAAAIAIdO&#10;4kAzLwWeOwAAADkAAAAQAAAAAAAAAAEAIAAAABEBAABkcnMvc2hhcGV4bWwueG1sUEsFBgAAAAAG&#10;AAYAWwEAALsDAAAAAA==&#10;">
                        <v:fill on="f" focussize="0,0"/>
                        <v:stroke weight="1.5pt" color="#000000" joinstyle="round"/>
                        <v:imagedata o:title=""/>
                        <o:lock v:ext="edit" aspectratio="f"/>
                      </v:line>
                      <v:rect id="矩形 6" o:spid="_x0000_s1026" o:spt="1" style="position:absolute;left:1306;top:9500;height:7067;width:7772;v-text-anchor:middle;" filled="f" stroked="t" coordsize="21600,21600" o:gfxdata="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9&#10;zpkawwAAAOIAAAAPAAAAAAAAAAEAIAAAACIAAABkcnMvZG93bnJldi54bWxQSwECFAAUAAAACACH&#10;TuJAMy8FnjsAAAA5AAAAEAAAAAAAAAABACAAAAASAQAAZHJzL3NoYXBleG1sLnhtbFBLBQYAAAAA&#10;BgAGAFsBAAC8AwAAAAA=&#10;">
                        <v:fill on="f" focussize="0,0"/>
                        <v:stroke weight="1.5pt" color="#000000" miterlimit="2" joinstyle="miter"/>
                        <v:imagedata o:title=""/>
                        <o:lock v:ext="edit" aspectratio="f"/>
                      </v:rect>
                    </v:group>
                    <v:line id="直接连接符 7" o:spid="_x0000_s1026" o:spt="20" style="position:absolute;left:1128;top:17988;height:0;width:24237;" filled="f" stroked="t" coordsize="21600,21600" o:gfxdata="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zGPyMQAAADjAAAADwAAAAAAAAABACAAAAAiAAAAZHJzL2Rvd25yZXYueG1sUEsBAhQAFAAAAAgA&#10;h07iQDMvBZ47AAAAOQAAABAAAAAAAAAAAQAgAAAAEwEAAGRycy9zaGFwZXhtbC54bWxQSwUGAAAA&#10;AAYABgBbAQAAvQMAAAAA&#10;">
                      <v:fill on="f" focussize="0,0"/>
                      <v:stroke weight="1.5pt" color="#000000" joinstyle="round"/>
                      <v:imagedata o:title=""/>
                      <o:lock v:ext="edit" aspectratio="f"/>
                    </v:line>
                    <v:line id="直接连接符 8" o:spid="_x0000_s1026" o:spt="20" style="position:absolute;left:5937;top:8550;flip:y;height:9441;width:0;" filled="f" stroked="t" coordsize="21600,21600" o:gfxdata="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of/i/&#10;AAAA4g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line id="直接连接符 9" o:spid="_x0000_s1026" o:spt="20" style="position:absolute;left:5165;top:8550;flip:x;height:944;width:772;" filled="f" stroked="t" coordsize="21600,21600" o:gfxdata="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5D&#10;uxDCAAAA4wAAAA8AAAAAAAAAAQAgAAAAIgAAAGRycy9kb3ducmV2LnhtbFBLAQIUABQAAAAIAIdO&#10;4kAzLwWeOwAAADkAAAAQAAAAAAAAAAEAIAAAABEBAABkcnMvc2hhcGV4bWwueG1sUEsFBgAAAAAG&#10;AAYAWwEAALsDAAAAAA==&#10;">
                      <v:fill on="f" focussize="0,0"/>
                      <v:stroke weight="1.5pt" color="#000000" joinstyle="round"/>
                      <v:imagedata o:title=""/>
                      <o:lock v:ext="edit" aspectratio="f"/>
                    </v:line>
                    <v:line id="直接连接符 10" o:spid="_x0000_s1026" o:spt="20" style="position:absolute;left:5165;top:7659;flip:y;height:1835;width:769;" filled="f" stroked="t" coordsize="21600,21600" o:gfxdata="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lA7lwwAAAOMAAAAPAAAAAAAAAAEAIAAAACIAAABkcnMvZG93bnJldi54bWxQSwECFAAUAAAACACH&#10;TuJAMy8FnjsAAAA5AAAAEAAAAAAAAAABACAAAAASAQAAZHJzL3NoYXBleG1sLnhtbFBLBQYAAAAA&#10;BgAGAFsBAAC8AwAAAAA=&#10;">
                      <v:fill on="f" focussize="0,0"/>
                      <v:stroke weight="1.5pt" color="#000000" joinstyle="round"/>
                      <v:imagedata o:title=""/>
                      <o:lock v:ext="edit" aspectratio="f"/>
                    </v:line>
                    <v:line id="直接连接符 11" o:spid="_x0000_s1026" o:spt="20" style="position:absolute;left:5937;top:5462;flip:y;height:2197;width:0;" filled="f" stroked="t" coordsize="21600,21600" o:gfxdata="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wYU2cQAAADjAAAADwAAAAAAAAABACAAAAAiAAAAZHJzL2Rvd25yZXYueG1sUEsBAhQAFAAAAAgA&#10;h07iQDMvBZ47AAAAOQAAABAAAAAAAAAAAQAgAAAAEwEAAGRycy9zaGFwZXhtbC54bWxQSwUGAAAA&#10;AAYABgBbAQAAvQMAAAAA&#10;">
                      <v:fill on="f" focussize="0,0"/>
                      <v:stroke weight="1.5pt" color="#000000" joinstyle="round"/>
                      <v:imagedata o:title=""/>
                      <o:lock v:ext="edit" aspectratio="f"/>
                    </v:line>
                    <v:line id="直接连接符 12" o:spid="_x0000_s1026" o:spt="20" style="position:absolute;left:20781;top:5462;flip:y;height:12459;width:0;" filled="f" stroked="t" coordsize="21600,21600" o:gfxdata="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VWD&#10;08EAAADjAAAADwAAAAAAAAABACAAAAAiAAAAZHJzL2Rvd25yZXYueG1sUEsBAhQAFAAAAAgAh07i&#10;QDMvBZ47AAAAOQAAABAAAAAAAAAAAQAgAAAAEAEAAGRycy9zaGFwZXhtbC54bWxQSwUGAAAAAAYA&#10;BgBbAQAAugMAAAAA&#10;">
                      <v:fill on="f" focussize="0,0"/>
                      <v:stroke weight="1.5pt" color="#000000" joinstyle="round"/>
                      <v:imagedata o:title=""/>
                      <o:lock v:ext="edit" aspectratio="f"/>
                    </v:line>
                    <v:line id="直接连接符 13" o:spid="_x0000_s1026" o:spt="20" style="position:absolute;left:5937;top:8550;height:0;width:14846;" filled="f" stroked="t" coordsize="21600,21600" o:gfxdata="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gg50wwAAAOMAAAAPAAAAAAAAAAEAIAAAACIAAABkcnMvZG93bnJldi54bWxQSwECFAAUAAAACACH&#10;TuJAMy8FnjsAAAA5AAAAEAAAAAAAAAABACAAAAASAQAAZHJzL3NoYXBleG1sLnhtbFBLBQYAAAAA&#10;BgAGAFsBAAC8AwAAAAA=&#10;">
                      <v:fill on="f" focussize="0,0"/>
                      <v:stroke weight="0.25pt" color="#000000" joinstyle="round"/>
                      <v:imagedata o:title=""/>
                      <o:lock v:ext="edit" aspectratio="f"/>
                    </v:line>
                    <v:line id="直接连接符 14" o:spid="_x0000_s1026" o:spt="20" style="position:absolute;left:6353;top:8965;height:0;width:1556;" filled="f" stroked="t" coordsize="21600,21600" o:gfxdata="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uLfo8QAAADiAAAADwAAAAAAAAABACAAAAAiAAAAZHJzL2Rvd25yZXYueG1sUEsBAhQAFAAAAAgA&#10;h07iQDMvBZ47AAAAOQAAABAAAAAAAAAAAQAgAAAAEwEAAGRycy9zaGFwZXhtbC54bWxQSwUGAAAA&#10;AAYABgBbAQAAvQMAAAAA&#10;">
                      <v:fill on="f" focussize="0,0"/>
                      <v:stroke weight="0.25pt" color="#000000" joinstyle="round"/>
                      <v:imagedata o:title=""/>
                      <o:lock v:ext="edit" aspectratio="f"/>
                    </v:line>
                    <v:line id="直接连接符 15" o:spid="_x0000_s1026" o:spt="20" style="position:absolute;left:6650;top:9144;height:0;width:901;" filled="f" stroked="t" coordsize="21600,21600" o:gfxdata="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MOTdwwAAAOEAAAAPAAAAAAAAAAEAIAAAACIAAABkcnMvZG93bnJldi54bWxQSwECFAAUAAAACACH&#10;TuJAMy8FnjsAAAA5AAAAEAAAAAAAAAABACAAAAASAQAAZHJzL3NoYXBleG1sLnhtbFBLBQYAAAAA&#10;BgAGAFsBAAC8AwAAAAA=&#10;">
                      <v:fill on="f" focussize="0,0"/>
                      <v:stroke weight="0.25pt" color="#000000" joinstyle="round"/>
                      <v:imagedata o:title=""/>
                      <o:lock v:ext="edit" aspectratio="f"/>
                    </v:line>
                    <v:line id="直接连接符 17" o:spid="_x0000_s1026" o:spt="20" style="position:absolute;left:1128;top:17931;flip:x;height:1734;width:1092;" filled="f" stroked="t" coordsize="21600,21600" o:gfxdata="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sj7q/&#10;AAAA4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18" o:spid="_x0000_s1026" o:spt="20" style="position:absolute;left:2256;top:17991;flip:x;height:1739;width:1096;" filled="f" stroked="t" coordsize="21600,21600" o:gfxdata="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qvH&#10;rsEAAADh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直接连接符 19" o:spid="_x0000_s1026" o:spt="20" style="position:absolute;left:3384;top:17991;flip:x;height:1739;width:1096;" filled="f" stroked="t" coordsize="21600,21600" o:gfxdata="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Zy&#10;uBjCAAAA4g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直接连接符 20" o:spid="_x0000_s1026" o:spt="20" style="position:absolute;left:4393;top:18050;flip:x;height:1734;width:1093;" filled="f" stroked="t" coordsize="21600,21600" o:gfxdata="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mqLC/&#10;AAAA4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21" o:spid="_x0000_s1026" o:spt="20" style="position:absolute;left:5462;top:17991;flip:x;height:1733;width:1092;" filled="f" stroked="t" coordsize="21600,21600" o:gfxdata="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KALE&#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22" o:spid="_x0000_s1026" o:spt="20" style="position:absolute;left:6590;top:17991;flip:x;height:1733;width:1093;" filled="f" stroked="t" coordsize="21600,21600" o:gfxdata="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dz2I&#10;wAAAAOI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23" o:spid="_x0000_s1026" o:spt="20" style="position:absolute;left:7718;top:17991;flip:x;height:1733;width:1093;" filled="f" stroked="t" coordsize="21600,21600" o:gfxdata="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uF20&#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24" o:spid="_x0000_s1026" o:spt="20" style="position:absolute;left:9025;top:17991;flip:x;height:1739;width:1096;" filled="f" stroked="t" coordsize="21600,21600" o:gfxdata="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paykwwAAAOIAAAAPAAAAAAAAAAEAIAAAACIAAABkcnMvZG93bnJldi54bWxQSwECFAAUAAAACACH&#10;TuJAMy8FnjsAAAA5AAAAEAAAAAAAAAABACAAAAASAQAAZHJzL3NoYXBleG1sLnhtbFBLBQYAAAAA&#10;BgAGAFsBAAC8AwAAAAA=&#10;">
                      <v:fill on="f" focussize="0,0"/>
                      <v:stroke weight="0.25pt" color="#000000" joinstyle="round"/>
                      <v:imagedata o:title=""/>
                      <o:lock v:ext="edit" aspectratio="f"/>
                    </v:line>
                    <v:line id="直接连接符 25" o:spid="_x0000_s1026" o:spt="20" style="position:absolute;left:10094;top:17931;flip:x;height:1734;width:1092;" filled="f" stroked="t" coordsize="21600,21600" o:gfxdata="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ESHQMQAAADjAAAADwAAAAAAAAABACAAAAAiAAAAZHJzL2Rvd25yZXYueG1sUEsBAhQAFAAAAAgA&#10;h07iQDMvBZ47AAAAOQAAABAAAAAAAAAAAQAgAAAAEwEAAGRycy9zaGFwZXhtbC54bWxQSwUGAAAA&#10;AAYABgBbAQAAvQMAAAAA&#10;">
                      <v:fill on="f" focussize="0,0"/>
                      <v:stroke weight="0.25pt" color="#000000" joinstyle="round"/>
                      <v:imagedata o:title=""/>
                      <o:lock v:ext="edit" aspectratio="f"/>
                    </v:line>
                    <v:line id="直接连接符 26" o:spid="_x0000_s1026" o:spt="20" style="position:absolute;left:11222;top:17991;flip:x;height:1733;width:1092;" filled="f" stroked="t" coordsize="21600,21600" o:gfxdata="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HB0hwwAAAOMAAAAPAAAAAAAAAAEAIAAAACIAAABkcnMvZG93bnJldi54bWxQSwECFAAUAAAACACH&#10;TuJAMy8FnjsAAAA5AAAAEAAAAAAAAAABACAAAAASAQAAZHJzL3NoYXBleG1sLnhtbFBLBQYAAAAA&#10;BgAGAFsBAAC8AwAAAAA=&#10;">
                      <v:fill on="f" focussize="0,0"/>
                      <v:stroke weight="0.25pt" color="#000000" joinstyle="round"/>
                      <v:imagedata o:title=""/>
                      <o:lock v:ext="edit" aspectratio="f"/>
                    </v:line>
                    <v:line id="直接连接符 27" o:spid="_x0000_s1026" o:spt="20" style="position:absolute;left:12350;top:17991;flip:x;height:1733;width:1092;" filled="f" stroked="t" coordsize="21600,21600" o:gfxdata="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dc&#10;lj3CAAAA4g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直接连接符 28" o:spid="_x0000_s1026" o:spt="20" style="position:absolute;left:13597;top:18050;flip:x;height:1739;width:1096;" filled="f" stroked="t" coordsize="21600,21600" o:gfxdata="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41GV&#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29" o:spid="_x0000_s1026" o:spt="20" style="position:absolute;left:14725;top:17991;flip:x;height:1733;width:1092;" filled="f" stroked="t" coordsize="21600,21600" o:gfxdata="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2le/&#10;AAAA4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30" o:spid="_x0000_s1026" o:spt="20" style="position:absolute;left:15853;top:18050;flip:x;height:1734;width:1092;" filled="f" stroked="t" coordsize="21600,21600" o:gfxdata="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QRx&#10;isEAAADj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直接连接符 31" o:spid="_x0000_s1026" o:spt="20" style="position:absolute;left:16981;top:18050;flip:x;height:1734;width:1092;" filled="f" stroked="t" coordsize="21600,21600" o:gfxdata="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0KiC&#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32" o:spid="_x0000_s1026" o:spt="20" style="position:absolute;left:18228;top:17931;flip:x;height:1739;width:1097;" filled="f" stroked="t" coordsize="21600,21600" o:gfxdata="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i5&#10;Ai3CAAAA4g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直接连接符 33" o:spid="_x0000_s1026" o:spt="20" style="position:absolute;left:19297;top:17872;flip:x;height:1733;width:1092;" filled="f" stroked="t" coordsize="21600,21600" o:gfxdata="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iw&#10;YVb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直接连接符 34" o:spid="_x0000_s1026" o:spt="20" style="position:absolute;left:20425;top:17931;flip:x;height:1734;width:1092;" filled="f" stroked="t" coordsize="21600,21600" o:gfxdata="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89VwwwAAAOMAAAAPAAAAAAAAAAEAIAAAACIAAABkcnMvZG93bnJldi54bWxQSwECFAAUAAAACACH&#10;TuJAMy8FnjsAAAA5AAAAEAAAAAAAAAABACAAAAASAQAAZHJzL3NoYXBleG1sLnhtbFBLBQYAAAAA&#10;BgAGAFsBAAC8AwAAAAA=&#10;">
                      <v:fill on="f" focussize="0,0"/>
                      <v:stroke weight="0.25pt" color="#000000" joinstyle="round"/>
                      <v:imagedata o:title=""/>
                      <o:lock v:ext="edit" aspectratio="f"/>
                    </v:line>
                    <v:line id="直接连接符 35" o:spid="_x0000_s1026" o:spt="20" style="position:absolute;left:21494;top:17931;flip:x;height:1734;width:1092;" filled="f" stroked="t" coordsize="21600,21600" o:gfxdata="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O0a&#10;msEAAADj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直接连接符 36" o:spid="_x0000_s1026" o:spt="20" style="position:absolute;left:22563;top:17931;flip:x;height:1734;width:1092;" filled="f" stroked="t" coordsize="21600,21600" o:gfxdata="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tE&#10;a3TCAAAA4g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直接连接符 37" o:spid="_x0000_s1026" o:spt="20" style="position:absolute;left:23691;top:17872;flip:x;height:1733;width:1092;" filled="f" stroked="t" coordsize="21600,21600" o:gfxdata="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ud&#10;b0fCAAAA4g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group>
                  <v:line id="直接连接符 41" o:spid="_x0000_s1026" o:spt="20" style="position:absolute;left:16538;top:834;height:3429;width:7176;" filled="f" stroked="t" coordsize="21600,21600" o:gfxdata="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BiCgsQAAADiAAAADwAAAAAAAAABACAAAAAiAAAAZHJzL2Rvd25yZXYueG1sUEsBAhQAFAAAAAgA&#10;h07iQDMvBZ47AAAAOQAAABAAAAAAAAAAAQAgAAAAEwEAAGRycy9zaGFwZXhtbC54bWxQSwUGAAAA&#10;AAYABgBbAQAAvQMAAAAA&#10;">
                    <v:fill on="f" focussize="0,0"/>
                    <v:stroke weight="0.25pt" color="#000000" joinstyle="round"/>
                    <v:imagedata o:title=""/>
                    <o:lock v:ext="edit" aspectratio="f"/>
                  </v:line>
                  <v:line id="直接连接符 43" o:spid="_x0000_s1026" o:spt="20" style="position:absolute;left:15067;top:10893;flip:y;height:3048;width:8585;" filled="f" stroked="t" coordsize="21600,21600" o:gfxdata="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4MdMwwAAAOMAAAAPAAAAAAAAAAEAIAAAACIAAABkcnMvZG93bnJldi54bWxQSwECFAAUAAAACACH&#10;TuJAMy8FnjsAAAA5AAAAEAAAAAAAAAABACAAAAASAQAAZHJzL3NoYXBleG1sLnhtbFBLBQYAAAAA&#10;BgAGAFsBAAC8AwAAAAA=&#10;">
                    <v:fill on="f" focussize="0,0"/>
                    <v:stroke weight="0.25pt" color="#000000" joinstyle="round"/>
                    <v:imagedata o:title=""/>
                    <o:lock v:ext="edit" aspectratio="f"/>
                  </v:line>
                  <v:shape id="文本框 2" o:spid="_x0000_s1026" o:spt="202" type="#_x0000_t202" style="position:absolute;left:29733;top:2731;height:2610;width:2432;v-text-anchor:middle;" filled="f" stroked="f" coordsize="21600,21600" o:gfxdata="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5sIG/&#10;AAAA4g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5BF81732">
                          <w:r>
                            <w:rPr>
                              <w:rFonts w:hint="eastAsia"/>
                            </w:rPr>
                            <w:t>1</w:t>
                          </w:r>
                        </w:p>
                      </w:txbxContent>
                    </v:textbox>
                  </v:shape>
                  <v:shape id="文本框 2" o:spid="_x0000_s1026" o:spt="202" type="#_x0000_t202" style="position:absolute;left:29898;top:9310;height:2896;width:1956;v-text-anchor:middle;" filled="f" stroked="f" coordsize="21600,21600" o:gfxdata="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GG&#10;7nH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14:paraId="01FD743B">
                          <w:r>
                            <w:rPr>
                              <w:rFonts w:hint="eastAsia"/>
                            </w:rPr>
                            <w:t>2</w:t>
                          </w:r>
                        </w:p>
                      </w:txbxContent>
                    </v:textbox>
                  </v:shape>
                </v:group>
                <w10:wrap type="none"/>
                <w10:anchorlock/>
              </v:group>
            </w:pict>
          </mc:Fallback>
        </mc:AlternateContent>
      </w:r>
    </w:p>
    <w:p w14:paraId="5B2F9ECD">
      <w:pPr>
        <w:kinsoku/>
        <w:overflowPunct/>
        <w:bidi w:val="0"/>
        <w:spacing w:line="360" w:lineRule="auto"/>
        <w:ind w:firstLine="420" w:firstLineChars="200"/>
        <w:jc w:val="center"/>
        <w:rPr>
          <w:color w:val="auto"/>
          <w:highlight w:val="none"/>
        </w:rPr>
      </w:pPr>
      <w:r>
        <w:rPr>
          <w:rFonts w:hint="eastAsia"/>
          <w:color w:val="auto"/>
          <w:highlight w:val="none"/>
        </w:rPr>
        <w:t>图6.12</w:t>
      </w:r>
      <w:r>
        <w:rPr>
          <w:color w:val="auto"/>
          <w:highlight w:val="none"/>
        </w:rPr>
        <w:t>.</w:t>
      </w:r>
      <w:r>
        <w:rPr>
          <w:rFonts w:hint="eastAsia"/>
          <w:color w:val="auto"/>
          <w:highlight w:val="none"/>
        </w:rPr>
        <w:t>4试件水中测试示意图</w:t>
      </w:r>
    </w:p>
    <w:p w14:paraId="4CEBF850">
      <w:pPr>
        <w:kinsoku/>
        <w:overflowPunct/>
        <w:bidi w:val="0"/>
        <w:spacing w:before="156" w:beforeLines="50" w:line="360" w:lineRule="auto"/>
        <w:ind w:left="600" w:leftChars="200" w:hanging="180" w:hangingChars="100"/>
        <w:jc w:val="center"/>
        <w:rPr>
          <w:color w:val="auto"/>
          <w:sz w:val="18"/>
          <w:szCs w:val="18"/>
          <w:highlight w:val="none"/>
        </w:rPr>
      </w:pPr>
      <w:r>
        <w:rPr>
          <w:rFonts w:hint="eastAsia"/>
          <w:color w:val="auto"/>
          <w:sz w:val="18"/>
          <w:szCs w:val="18"/>
          <w:highlight w:val="none"/>
        </w:rPr>
        <w:t>1-电子天平；2-试件</w:t>
      </w:r>
    </w:p>
    <w:p w14:paraId="2A2F480F">
      <w:pPr>
        <w:pStyle w:val="53"/>
        <w:kinsoku/>
        <w:overflowPunct/>
        <w:bidi w:val="0"/>
        <w:spacing w:line="360" w:lineRule="auto"/>
        <w:rPr>
          <w:color w:val="auto"/>
          <w:highlight w:val="none"/>
        </w:rPr>
      </w:pPr>
      <w:r>
        <w:rPr>
          <w:rFonts w:hint="eastAsia"/>
          <w:color w:val="auto"/>
          <w:highlight w:val="none"/>
          <w:lang w:eastAsia="zh"/>
          <w:woUserID w:val="3"/>
        </w:rPr>
        <w:t>2</w:t>
      </w:r>
      <w:r>
        <w:rPr>
          <w:rFonts w:hint="eastAsia"/>
          <w:color w:val="auto"/>
          <w:highlight w:val="none"/>
        </w:rPr>
        <w:t>）试件的总体积应按下式计算：</w:t>
      </w:r>
    </w:p>
    <w:p w14:paraId="64F8EBC0">
      <w:pPr>
        <w:kinsoku/>
        <w:overflowPunct/>
        <w:bidi w:val="0"/>
        <w:spacing w:before="156" w:beforeLines="50" w:line="360" w:lineRule="auto"/>
        <w:jc w:val="right"/>
        <w:rPr>
          <w:color w:val="auto"/>
          <w:highlight w:val="none"/>
        </w:rPr>
      </w:pPr>
      <w:r>
        <w:rPr>
          <w:color w:val="auto"/>
          <w:position w:val="-30"/>
          <w:highlight w:val="none"/>
        </w:rPr>
        <w:object>
          <v:shape id="_x0000_i1075" o:spt="75" type="#_x0000_t75" style="height:34.65pt;width:65pt;" o:ole="t" filled="f" o:preferrelative="t" stroked="f" coordsize="21600,21600">
            <v:path/>
            <v:fill on="f" focussize="0,0"/>
            <v:stroke on="f" joinstyle="miter"/>
            <v:imagedata r:id="rId138" o:title=""/>
            <o:lock v:ext="edit" aspectratio="t"/>
            <w10:wrap type="none"/>
            <w10:anchorlock/>
          </v:shape>
          <o:OLEObject Type="Embed" ProgID="Equation.DSMT4" ShapeID="_x0000_i1075" DrawAspect="Content" ObjectID="_1468075775" r:id="rId137">
            <o:LockedField>false</o:LockedField>
          </o:OLEObject>
        </w:object>
      </w:r>
      <w:r>
        <w:rPr>
          <w:rFonts w:hint="eastAsia"/>
          <w:color w:val="auto"/>
          <w:highlight w:val="none"/>
        </w:rPr>
        <w:t xml:space="preserve">                                 (6.12.4)</w:t>
      </w:r>
    </w:p>
    <w:p w14:paraId="72EC3C0A">
      <w:pPr>
        <w:pStyle w:val="53"/>
        <w:kinsoku/>
        <w:overflowPunct/>
        <w:bidi w:val="0"/>
        <w:spacing w:line="360" w:lineRule="auto"/>
        <w:rPr>
          <w:color w:val="auto"/>
          <w:highlight w:val="none"/>
        </w:rPr>
      </w:pPr>
      <w:r>
        <w:rPr>
          <w:rFonts w:hint="eastAsia"/>
          <w:color w:val="auto"/>
          <w:highlight w:val="none"/>
        </w:rPr>
        <w:t>式中：</w:t>
      </w:r>
      <w:r>
        <w:rPr>
          <w:rFonts w:hint="eastAsia"/>
          <w:i/>
          <w:color w:val="auto"/>
          <w:highlight w:val="none"/>
        </w:rPr>
        <w:t>V</w:t>
      </w:r>
      <w:r>
        <w:rPr>
          <w:color w:val="auto"/>
          <w:highlight w:val="none"/>
          <w:vertAlign w:val="subscript"/>
        </w:rPr>
        <w:t>t</w:t>
      </w:r>
      <w:r>
        <w:rPr>
          <w:rFonts w:hint="eastAsia"/>
          <w:color w:val="auto"/>
          <w:highlight w:val="none"/>
        </w:rPr>
        <w:t>——试件的总体积（m</w:t>
      </w:r>
      <w:r>
        <w:rPr>
          <w:rFonts w:hint="eastAsia"/>
          <w:color w:val="auto"/>
          <w:highlight w:val="none"/>
          <w:vertAlign w:val="superscript"/>
        </w:rPr>
        <w:t>3</w:t>
      </w:r>
      <w:r>
        <w:rPr>
          <w:rFonts w:hint="eastAsia"/>
          <w:color w:val="auto"/>
          <w:highlight w:val="none"/>
        </w:rPr>
        <w:t>），试件的总体积包括试件固体体积、试件内部闭口孔隙体积与试件开口孔隙体积三者之和；</w:t>
      </w:r>
    </w:p>
    <w:p w14:paraId="6BC84E9B">
      <w:pPr>
        <w:kinsoku/>
        <w:overflowPunct/>
        <w:bidi w:val="0"/>
        <w:spacing w:before="156" w:beforeLines="50" w:line="360" w:lineRule="auto"/>
        <w:ind w:right="420"/>
        <w:jc w:val="left"/>
        <w:rPr>
          <w:color w:val="auto"/>
          <w:highlight w:val="none"/>
        </w:rPr>
      </w:pPr>
      <w:r>
        <w:rPr>
          <w:rFonts w:hint="eastAsia"/>
          <w:i/>
          <w:color w:val="auto"/>
          <w:highlight w:val="none"/>
        </w:rPr>
        <w:t xml:space="preserve">      m</w:t>
      </w:r>
      <w:r>
        <w:rPr>
          <w:color w:val="auto"/>
          <w:highlight w:val="none"/>
          <w:vertAlign w:val="subscript"/>
        </w:rPr>
        <w:t>s</w:t>
      </w:r>
      <w:r>
        <w:rPr>
          <w:rFonts w:hint="eastAsia"/>
          <w:color w:val="auto"/>
          <w:highlight w:val="none"/>
        </w:rPr>
        <w:t>——保水试件的表干质量（kg）；</w:t>
      </w:r>
    </w:p>
    <w:p w14:paraId="7E7C7DA0">
      <w:pPr>
        <w:kinsoku/>
        <w:overflowPunct/>
        <w:bidi w:val="0"/>
        <w:spacing w:before="156" w:beforeLines="50" w:line="360" w:lineRule="auto"/>
        <w:ind w:right="420"/>
        <w:jc w:val="left"/>
        <w:rPr>
          <w:color w:val="auto"/>
          <w:highlight w:val="none"/>
        </w:rPr>
      </w:pPr>
      <w:r>
        <w:rPr>
          <w:rFonts w:hint="eastAsia"/>
          <w:i/>
          <w:color w:val="auto"/>
          <w:highlight w:val="none"/>
        </w:rPr>
        <w:t xml:space="preserve">      m</w:t>
      </w:r>
      <w:r>
        <w:rPr>
          <w:color w:val="auto"/>
          <w:highlight w:val="none"/>
          <w:vertAlign w:val="subscript"/>
        </w:rPr>
        <w:t>w</w:t>
      </w:r>
      <w:r>
        <w:rPr>
          <w:rFonts w:hint="eastAsia"/>
          <w:color w:val="auto"/>
          <w:highlight w:val="none"/>
        </w:rPr>
        <w:t>——试件在水中的质量（kg）；</w:t>
      </w:r>
    </w:p>
    <w:p w14:paraId="08EC63EE">
      <w:pPr>
        <w:kinsoku/>
        <w:overflowPunct/>
        <w:bidi w:val="0"/>
        <w:spacing w:before="156" w:beforeLines="50" w:line="360" w:lineRule="auto"/>
        <w:ind w:right="420" w:firstLine="630" w:firstLineChars="300"/>
        <w:jc w:val="left"/>
        <w:rPr>
          <w:b/>
          <w:color w:val="auto"/>
          <w:highlight w:val="none"/>
        </w:rPr>
      </w:pPr>
      <w:r>
        <w:rPr>
          <w:i/>
          <w:color w:val="auto"/>
          <w:highlight w:val="none"/>
        </w:rPr>
        <w:t>ρ</w:t>
      </w:r>
      <w:r>
        <w:rPr>
          <w:color w:val="auto"/>
          <w:highlight w:val="none"/>
          <w:vertAlign w:val="subscript"/>
        </w:rPr>
        <w:t>w</w:t>
      </w:r>
      <w:r>
        <w:rPr>
          <w:rFonts w:hint="eastAsia"/>
          <w:color w:val="auto"/>
          <w:highlight w:val="none"/>
        </w:rPr>
        <w:t>——水的密度，当水温为20℃时，取值998kg/m</w:t>
      </w:r>
      <w:r>
        <w:rPr>
          <w:rFonts w:hint="eastAsia"/>
          <w:color w:val="auto"/>
          <w:highlight w:val="none"/>
          <w:vertAlign w:val="superscript"/>
        </w:rPr>
        <w:t>3</w:t>
      </w:r>
      <w:r>
        <w:rPr>
          <w:rFonts w:hint="eastAsia"/>
          <w:color w:val="auto"/>
          <w:highlight w:val="none"/>
        </w:rPr>
        <w:t>；</w:t>
      </w:r>
    </w:p>
    <w:p w14:paraId="6FC25E3A">
      <w:pPr>
        <w:kinsoku/>
        <w:overflowPunct/>
        <w:bidi w:val="0"/>
        <w:spacing w:before="156" w:beforeLines="50" w:line="360" w:lineRule="auto"/>
        <w:ind w:firstLine="315" w:firstLineChars="150"/>
        <w:rPr>
          <w:bCs/>
          <w:color w:val="auto"/>
          <w:highlight w:val="none"/>
        </w:rPr>
      </w:pPr>
      <w:r>
        <w:rPr>
          <w:rFonts w:hint="eastAsia"/>
          <w:bCs/>
          <w:color w:val="auto"/>
          <w:highlight w:val="none"/>
          <w:lang w:eastAsia="zh"/>
          <w:woUserID w:val="3"/>
        </w:rPr>
        <w:t>4</w:t>
      </w:r>
      <w:r>
        <w:rPr>
          <w:bCs/>
          <w:color w:val="auto"/>
          <w:highlight w:val="none"/>
        </w:rPr>
        <w:t xml:space="preserve"> </w:t>
      </w:r>
      <w:r>
        <w:rPr>
          <w:rFonts w:hint="eastAsia"/>
          <w:bCs/>
          <w:color w:val="auto"/>
          <w:highlight w:val="none"/>
        </w:rPr>
        <w:t>对于形状规则的试件，可以按以下方法直接量取试件尺寸进行试件总体积计算。</w:t>
      </w:r>
    </w:p>
    <w:p w14:paraId="0EA5BCD4">
      <w:pPr>
        <w:pStyle w:val="53"/>
        <w:kinsoku/>
        <w:overflowPunct/>
        <w:bidi w:val="0"/>
        <w:spacing w:line="360" w:lineRule="auto"/>
        <w:ind w:firstLine="525" w:firstLineChars="250"/>
        <w:rPr>
          <w:color w:val="auto"/>
          <w:highlight w:val="none"/>
        </w:rPr>
      </w:pPr>
      <w:r>
        <w:rPr>
          <w:color w:val="auto"/>
          <w:highlight w:val="none"/>
        </w:rPr>
        <w:t>1</w:t>
      </w:r>
      <w:r>
        <w:rPr>
          <w:rFonts w:hint="eastAsia"/>
          <w:color w:val="auto"/>
          <w:highlight w:val="none"/>
        </w:rPr>
        <w:t>）对于立方体或棱柱体试件，逐一量取试件长、宽、高三个方向的长度值，每一方向的长度值应在其两端和中间各测量1次，再在其相对的面上再各测1次，共测6次，并应精确至0.5mm，6次测量的平均值作为该方向的长度值。计算试件的体积，单位为m</w:t>
      </w:r>
      <w:r>
        <w:rPr>
          <w:rFonts w:hint="eastAsia"/>
          <w:color w:val="auto"/>
          <w:highlight w:val="none"/>
          <w:vertAlign w:val="superscript"/>
        </w:rPr>
        <w:t>3</w:t>
      </w:r>
      <w:r>
        <w:rPr>
          <w:rFonts w:hint="eastAsia"/>
          <w:color w:val="auto"/>
          <w:highlight w:val="none"/>
        </w:rPr>
        <w:t>，保留4位有效数字；</w:t>
      </w:r>
    </w:p>
    <w:p w14:paraId="0749B7E8">
      <w:pPr>
        <w:pStyle w:val="53"/>
        <w:kinsoku/>
        <w:overflowPunct/>
        <w:bidi w:val="0"/>
        <w:spacing w:line="360" w:lineRule="auto"/>
        <w:ind w:firstLine="525" w:firstLineChars="250"/>
        <w:rPr>
          <w:color w:val="auto"/>
          <w:highlight w:val="none"/>
        </w:rPr>
      </w:pPr>
      <w:r>
        <w:rPr>
          <w:color w:val="auto"/>
          <w:highlight w:val="none"/>
        </w:rPr>
        <w:t>2</w:t>
      </w:r>
      <w:r>
        <w:rPr>
          <w:rFonts w:hint="eastAsia"/>
          <w:color w:val="auto"/>
          <w:highlight w:val="none"/>
        </w:rPr>
        <w:t>）对于钻芯试件，圆柱体上下两个底面的直径，各量取相互垂直方向长度2次，共4次，轴向方向</w:t>
      </w:r>
      <w:r>
        <w:rPr>
          <w:rFonts w:hint="eastAsia"/>
          <w:color w:val="auto"/>
          <w:szCs w:val="21"/>
          <w:highlight w:val="none"/>
          <w:lang w:val="nb-NO"/>
        </w:rPr>
        <w:t>高度</w:t>
      </w:r>
      <w:r>
        <w:rPr>
          <w:rFonts w:hint="eastAsia"/>
          <w:color w:val="auto"/>
          <w:highlight w:val="none"/>
        </w:rPr>
        <w:t>在相互垂直的方向上分别量取4次，将4次测量结果取平均值作为直径和高度值。计算试件的体积，单位为m</w:t>
      </w:r>
      <w:r>
        <w:rPr>
          <w:rFonts w:hint="eastAsia"/>
          <w:color w:val="auto"/>
          <w:highlight w:val="none"/>
          <w:vertAlign w:val="superscript"/>
        </w:rPr>
        <w:t>3</w:t>
      </w:r>
      <w:r>
        <w:rPr>
          <w:rFonts w:hint="eastAsia"/>
          <w:color w:val="auto"/>
          <w:highlight w:val="none"/>
        </w:rPr>
        <w:t>，保留4位有效数字。</w:t>
      </w:r>
    </w:p>
    <w:p w14:paraId="3220FD2C">
      <w:pPr>
        <w:kinsoku/>
        <w:overflowPunct/>
        <w:bidi w:val="0"/>
        <w:spacing w:before="156" w:beforeLines="50" w:line="360" w:lineRule="auto"/>
        <w:ind w:right="420"/>
        <w:jc w:val="left"/>
        <w:rPr>
          <w:bCs/>
          <w:color w:val="auto"/>
          <w:highlight w:val="none"/>
        </w:rPr>
      </w:pPr>
      <w:r>
        <w:rPr>
          <w:bCs/>
          <w:color w:val="auto"/>
          <w:highlight w:val="none"/>
        </w:rPr>
        <w:t xml:space="preserve">6.12.5 </w:t>
      </w:r>
      <w:r>
        <w:rPr>
          <w:rFonts w:hint="eastAsia"/>
          <w:bCs/>
          <w:color w:val="auto"/>
          <w:highlight w:val="none"/>
          <w:lang w:eastAsia="zh"/>
          <w:woUserID w:val="3"/>
        </w:rPr>
        <w:t>试验结果</w:t>
      </w:r>
      <w:r>
        <w:rPr>
          <w:rFonts w:hint="eastAsia"/>
          <w:bCs/>
          <w:color w:val="auto"/>
          <w:highlight w:val="none"/>
        </w:rPr>
        <w:t>计算及确定应按下列方法进行：</w:t>
      </w:r>
    </w:p>
    <w:p w14:paraId="6156B2A9">
      <w:pPr>
        <w:kinsoku/>
        <w:overflowPunct/>
        <w:bidi w:val="0"/>
        <w:spacing w:before="156" w:beforeLines="50" w:line="360" w:lineRule="auto"/>
        <w:ind w:firstLine="315" w:firstLineChars="150"/>
        <w:rPr>
          <w:bCs/>
          <w:color w:val="auto"/>
          <w:highlight w:val="none"/>
        </w:rPr>
      </w:pPr>
      <w:r>
        <w:rPr>
          <w:rFonts w:hint="eastAsia"/>
          <w:bCs/>
          <w:color w:val="auto"/>
          <w:highlight w:val="none"/>
          <w:lang w:eastAsia="zh"/>
          <w:woUserID w:val="3"/>
        </w:rPr>
        <w:t>1</w:t>
      </w:r>
      <w:r>
        <w:rPr>
          <w:bCs/>
          <w:color w:val="auto"/>
          <w:highlight w:val="none"/>
        </w:rPr>
        <w:t xml:space="preserve"> </w:t>
      </w:r>
      <w:r>
        <w:rPr>
          <w:rFonts w:hint="eastAsia"/>
          <w:bCs/>
          <w:color w:val="auto"/>
          <w:highlight w:val="none"/>
          <w:woUserID w:val="3"/>
        </w:rPr>
        <w:t>硬化超高性能混凝土的原样体积密度</w:t>
      </w:r>
      <w:r>
        <w:rPr>
          <w:rFonts w:hint="eastAsia"/>
          <w:bCs/>
          <w:color w:val="auto"/>
          <w:highlight w:val="none"/>
        </w:rPr>
        <w:t>应按下式计算：</w:t>
      </w:r>
    </w:p>
    <w:p w14:paraId="5610D9A1">
      <w:pPr>
        <w:kinsoku/>
        <w:wordWrap w:val="0"/>
        <w:overflowPunct/>
        <w:bidi w:val="0"/>
        <w:spacing w:before="156" w:beforeLines="50" w:line="360" w:lineRule="auto"/>
        <w:ind w:right="180"/>
        <w:jc w:val="right"/>
        <w:rPr>
          <w:color w:val="auto"/>
          <w:highlight w:val="none"/>
        </w:rPr>
      </w:pPr>
      <w:r>
        <w:rPr>
          <w:rFonts w:hint="eastAsia"/>
          <w:color w:val="auto"/>
          <w:position w:val="-30"/>
          <w:szCs w:val="21"/>
          <w:highlight w:val="none"/>
        </w:rPr>
        <w:object>
          <v:shape id="_x0000_i1076" o:spt="75" type="#_x0000_t75" style="height:34.25pt;width:40.1pt;" o:ole="t" filled="f" o:preferrelative="t" stroked="f" coordsize="21600,21600">
            <v:path/>
            <v:fill on="f" focussize="0,0"/>
            <v:stroke on="f" joinstyle="miter"/>
            <v:imagedata r:id="rId140" o:title=""/>
            <o:lock v:ext="edit" aspectratio="t"/>
            <w10:wrap type="none"/>
            <w10:anchorlock/>
          </v:shape>
          <o:OLEObject Type="Embed" ProgID="Equation.DSMT4" ShapeID="_x0000_i1076" DrawAspect="Content" ObjectID="_1468075776" r:id="rId139">
            <o:LockedField>false</o:LockedField>
          </o:OLEObject>
        </w:object>
      </w:r>
      <w:r>
        <w:rPr>
          <w:rFonts w:hint="eastAsia"/>
          <w:color w:val="auto"/>
          <w:szCs w:val="21"/>
          <w:highlight w:val="none"/>
        </w:rPr>
        <w:t xml:space="preserve">   </w:t>
      </w:r>
      <w:r>
        <w:rPr>
          <w:rFonts w:hint="eastAsia"/>
          <w:color w:val="auto"/>
          <w:szCs w:val="21"/>
          <w:highlight w:val="none"/>
          <w:lang w:eastAsia="zh"/>
          <w:woUserID w:val="3"/>
        </w:rPr>
        <w:t xml:space="preserve">       </w:t>
      </w:r>
      <w:r>
        <w:rPr>
          <w:rFonts w:hint="eastAsia"/>
          <w:color w:val="auto"/>
          <w:szCs w:val="21"/>
          <w:highlight w:val="none"/>
        </w:rPr>
        <w:t xml:space="preserve">                    </w:t>
      </w:r>
      <w:r>
        <w:rPr>
          <w:rFonts w:hint="eastAsia"/>
          <w:color w:val="auto"/>
          <w:highlight w:val="none"/>
        </w:rPr>
        <w:t>（6.12.5）</w:t>
      </w:r>
    </w:p>
    <w:p w14:paraId="5F79E654">
      <w:pPr>
        <w:kinsoku/>
        <w:overflowPunct/>
        <w:bidi w:val="0"/>
        <w:spacing w:before="156" w:beforeLines="50" w:line="360" w:lineRule="auto"/>
        <w:ind w:right="390" w:firstLine="420" w:firstLineChars="200"/>
        <w:jc w:val="left"/>
        <w:rPr>
          <w:color w:val="auto"/>
          <w:highlight w:val="none"/>
        </w:rPr>
      </w:pPr>
      <w:r>
        <w:rPr>
          <w:color w:val="auto"/>
          <w:highlight w:val="none"/>
        </w:rPr>
        <w:t>式中</w:t>
      </w:r>
      <w:r>
        <w:rPr>
          <w:rFonts w:hint="eastAsia"/>
          <w:color w:val="auto"/>
          <w:highlight w:val="none"/>
        </w:rPr>
        <w:t>：</w:t>
      </w:r>
      <w:r>
        <w:rPr>
          <w:rFonts w:ascii="Cambria Math" w:hAnsi="Cambria Math"/>
          <w:i/>
          <w:color w:val="auto"/>
          <w:highlight w:val="none"/>
        </w:rPr>
        <w:t>ρ</w:t>
      </w:r>
      <w:r>
        <w:rPr>
          <w:rFonts w:hint="eastAsia" w:ascii="Cambria Math" w:hAnsi="Cambria Math"/>
          <w:i/>
          <w:color w:val="auto"/>
          <w:highlight w:val="none"/>
          <w:vertAlign w:val="subscript"/>
        </w:rPr>
        <w:t>r</w:t>
      </w:r>
      <w:r>
        <w:rPr>
          <w:rFonts w:hint="eastAsia"/>
          <w:bCs/>
          <w:color w:val="auto"/>
          <w:highlight w:val="none"/>
        </w:rPr>
        <w:t>——</w:t>
      </w:r>
      <w:r>
        <w:rPr>
          <w:rFonts w:hint="eastAsia"/>
          <w:color w:val="auto"/>
          <w:highlight w:val="none"/>
        </w:rPr>
        <w:t>硬化</w:t>
      </w:r>
      <w:r>
        <w:rPr>
          <w:rFonts w:hint="eastAsia"/>
          <w:bCs/>
          <w:color w:val="auto"/>
          <w:highlight w:val="none"/>
        </w:rPr>
        <w:t>超高性能</w:t>
      </w:r>
      <w:r>
        <w:rPr>
          <w:rFonts w:hint="eastAsia"/>
          <w:color w:val="auto"/>
          <w:highlight w:val="none"/>
        </w:rPr>
        <w:t>混凝土的原样体积密度（kg/m</w:t>
      </w:r>
      <w:r>
        <w:rPr>
          <w:rFonts w:hint="eastAsia"/>
          <w:color w:val="auto"/>
          <w:highlight w:val="none"/>
          <w:vertAlign w:val="superscript"/>
        </w:rPr>
        <w:t>3</w:t>
      </w:r>
      <w:r>
        <w:rPr>
          <w:rFonts w:hint="eastAsia"/>
          <w:color w:val="auto"/>
          <w:highlight w:val="none"/>
        </w:rPr>
        <w:t>），计算结果应精确至10kg/m</w:t>
      </w:r>
      <w:r>
        <w:rPr>
          <w:rFonts w:hint="eastAsia"/>
          <w:color w:val="auto"/>
          <w:highlight w:val="none"/>
          <w:vertAlign w:val="superscript"/>
        </w:rPr>
        <w:t>3</w:t>
      </w:r>
      <w:r>
        <w:rPr>
          <w:rFonts w:hint="eastAsia"/>
          <w:color w:val="auto"/>
          <w:highlight w:val="none"/>
        </w:rPr>
        <w:t>；</w:t>
      </w:r>
    </w:p>
    <w:p w14:paraId="6286137C">
      <w:pPr>
        <w:kinsoku/>
        <w:overflowPunct/>
        <w:bidi w:val="0"/>
        <w:spacing w:before="156" w:beforeLines="50" w:line="360" w:lineRule="auto"/>
        <w:ind w:firstLine="1050" w:firstLineChars="500"/>
        <w:rPr>
          <w:color w:val="auto"/>
          <w:highlight w:val="none"/>
        </w:rPr>
      </w:pPr>
      <w:r>
        <w:rPr>
          <w:rFonts w:hint="eastAsia"/>
          <w:i/>
          <w:color w:val="auto"/>
          <w:highlight w:val="none"/>
        </w:rPr>
        <w:t>m</w:t>
      </w:r>
      <w:r>
        <w:rPr>
          <w:rFonts w:hint="eastAsia"/>
          <w:i/>
          <w:color w:val="auto"/>
          <w:highlight w:val="none"/>
          <w:vertAlign w:val="subscript"/>
        </w:rPr>
        <w:t>r</w:t>
      </w:r>
      <w:r>
        <w:rPr>
          <w:rFonts w:hint="eastAsia"/>
          <w:bCs/>
          <w:color w:val="auto"/>
          <w:highlight w:val="none"/>
        </w:rPr>
        <w:t>——</w:t>
      </w:r>
      <w:r>
        <w:rPr>
          <w:rFonts w:hint="eastAsia"/>
          <w:color w:val="auto"/>
          <w:highlight w:val="none"/>
        </w:rPr>
        <w:t>试件原样状态下的质量（kg）；</w:t>
      </w:r>
    </w:p>
    <w:p w14:paraId="4CA65643">
      <w:pPr>
        <w:kinsoku/>
        <w:overflowPunct/>
        <w:bidi w:val="0"/>
        <w:spacing w:before="156" w:beforeLines="50" w:line="360" w:lineRule="auto"/>
        <w:ind w:right="390" w:firstLine="1050" w:firstLineChars="500"/>
        <w:jc w:val="left"/>
        <w:rPr>
          <w:color w:val="auto"/>
          <w:highlight w:val="none"/>
        </w:rPr>
      </w:pPr>
      <w:r>
        <w:rPr>
          <w:i/>
          <w:color w:val="auto"/>
          <w:highlight w:val="none"/>
        </w:rPr>
        <w:t>V</w:t>
      </w:r>
      <w:r>
        <w:rPr>
          <w:i/>
          <w:color w:val="auto"/>
          <w:highlight w:val="none"/>
          <w:vertAlign w:val="subscript"/>
        </w:rPr>
        <w:t>t</w:t>
      </w:r>
      <w:r>
        <w:rPr>
          <w:rFonts w:hint="eastAsia"/>
          <w:bCs/>
          <w:color w:val="auto"/>
          <w:highlight w:val="none"/>
        </w:rPr>
        <w:t>——</w:t>
      </w:r>
      <w:r>
        <w:rPr>
          <w:rFonts w:hint="eastAsia"/>
          <w:color w:val="auto"/>
          <w:highlight w:val="none"/>
        </w:rPr>
        <w:t>试件的总体积（m</w:t>
      </w:r>
      <w:r>
        <w:rPr>
          <w:rFonts w:hint="eastAsia"/>
          <w:color w:val="auto"/>
          <w:highlight w:val="none"/>
          <w:vertAlign w:val="superscript"/>
        </w:rPr>
        <w:t>3</w:t>
      </w:r>
      <w:r>
        <w:rPr>
          <w:rFonts w:hint="eastAsia"/>
          <w:color w:val="auto"/>
          <w:highlight w:val="none"/>
        </w:rPr>
        <w:t>）；</w:t>
      </w:r>
    </w:p>
    <w:p w14:paraId="2FA2B3F1">
      <w:pPr>
        <w:kinsoku/>
        <w:overflowPunct/>
        <w:bidi w:val="0"/>
        <w:spacing w:before="156" w:beforeLines="50" w:line="360" w:lineRule="auto"/>
        <w:ind w:firstLine="315" w:firstLineChars="150"/>
        <w:rPr>
          <w:bCs/>
          <w:color w:val="auto"/>
          <w:szCs w:val="21"/>
          <w:highlight w:val="none"/>
          <w:lang w:val="nb-NO"/>
        </w:rPr>
      </w:pPr>
      <w:r>
        <w:rPr>
          <w:rFonts w:hint="eastAsia"/>
          <w:bCs/>
          <w:color w:val="auto"/>
          <w:szCs w:val="21"/>
          <w:highlight w:val="none"/>
          <w:lang w:eastAsia="zh"/>
          <w:woUserID w:val="3"/>
        </w:rPr>
        <w:t>2</w:t>
      </w:r>
      <w:r>
        <w:rPr>
          <w:rFonts w:hint="eastAsia"/>
          <w:bCs/>
          <w:color w:val="auto"/>
          <w:szCs w:val="21"/>
          <w:highlight w:val="none"/>
        </w:rPr>
        <w:t xml:space="preserve"> 密度</w:t>
      </w:r>
      <w:r>
        <w:rPr>
          <w:bCs/>
          <w:color w:val="auto"/>
          <w:szCs w:val="21"/>
          <w:highlight w:val="none"/>
          <w:lang w:val="nb-NO"/>
        </w:rPr>
        <w:t>值的确定应符合下列规定</w:t>
      </w:r>
      <w:r>
        <w:rPr>
          <w:rFonts w:hint="eastAsia"/>
          <w:bCs/>
          <w:color w:val="auto"/>
          <w:szCs w:val="21"/>
          <w:highlight w:val="none"/>
          <w:lang w:val="nb-NO"/>
        </w:rPr>
        <w:t>：</w:t>
      </w:r>
    </w:p>
    <w:p w14:paraId="0FDDF0D5">
      <w:pPr>
        <w:pStyle w:val="53"/>
        <w:kinsoku/>
        <w:overflowPunct/>
        <w:bidi w:val="0"/>
        <w:spacing w:line="360" w:lineRule="auto"/>
        <w:ind w:firstLine="525" w:firstLineChars="250"/>
        <w:rPr>
          <w:color w:val="auto"/>
          <w:highlight w:val="none"/>
          <w:lang w:val="nb-NO"/>
        </w:rPr>
      </w:pPr>
      <w:r>
        <w:rPr>
          <w:color w:val="auto"/>
          <w:highlight w:val="none"/>
          <w:lang w:val="nb-NO"/>
        </w:rPr>
        <w:t>1</w:t>
      </w:r>
      <w:r>
        <w:rPr>
          <w:rFonts w:hint="eastAsia"/>
          <w:color w:val="auto"/>
          <w:highlight w:val="none"/>
          <w:lang w:val="nb-NO"/>
        </w:rPr>
        <w:t>）</w:t>
      </w:r>
      <w:r>
        <w:rPr>
          <w:rFonts w:hint="eastAsia"/>
          <w:color w:val="auto"/>
          <w:highlight w:val="none"/>
        </w:rPr>
        <w:t>应以</w:t>
      </w:r>
      <w:r>
        <w:rPr>
          <w:rFonts w:hint="eastAsia"/>
          <w:color w:val="auto"/>
          <w:highlight w:val="none"/>
          <w:lang w:val="nb-NO"/>
        </w:rPr>
        <w:t>3</w:t>
      </w:r>
      <w:r>
        <w:rPr>
          <w:color w:val="auto"/>
          <w:highlight w:val="none"/>
          <w:lang w:val="nb-NO"/>
        </w:rPr>
        <w:t>个试件测值的算术平均值作为该组试件的</w:t>
      </w:r>
      <w:r>
        <w:rPr>
          <w:rFonts w:hint="eastAsia"/>
          <w:color w:val="auto"/>
          <w:highlight w:val="none"/>
          <w:lang w:val="nb-NO"/>
        </w:rPr>
        <w:t>密度</w:t>
      </w:r>
      <w:r>
        <w:rPr>
          <w:color w:val="auto"/>
          <w:highlight w:val="none"/>
          <w:lang w:val="nb-NO"/>
        </w:rPr>
        <w:t>值</w:t>
      </w:r>
      <w:r>
        <w:rPr>
          <w:rFonts w:hint="eastAsia"/>
          <w:color w:val="auto"/>
          <w:highlight w:val="none"/>
          <w:lang w:val="nb-NO"/>
        </w:rPr>
        <w:t>，应</w:t>
      </w:r>
      <w:r>
        <w:rPr>
          <w:color w:val="auto"/>
          <w:highlight w:val="none"/>
          <w:lang w:val="nb-NO"/>
        </w:rPr>
        <w:t>精确至</w:t>
      </w:r>
      <w:r>
        <w:rPr>
          <w:rFonts w:hint="eastAsia"/>
          <w:color w:val="auto"/>
          <w:highlight w:val="none"/>
        </w:rPr>
        <w:t>10kg/m</w:t>
      </w:r>
      <w:r>
        <w:rPr>
          <w:rFonts w:hint="eastAsia"/>
          <w:color w:val="auto"/>
          <w:highlight w:val="none"/>
          <w:vertAlign w:val="superscript"/>
        </w:rPr>
        <w:t>3</w:t>
      </w:r>
      <w:r>
        <w:rPr>
          <w:rFonts w:hint="eastAsia"/>
          <w:color w:val="auto"/>
          <w:highlight w:val="none"/>
          <w:lang w:val="nb-NO"/>
        </w:rPr>
        <w:t>；</w:t>
      </w:r>
    </w:p>
    <w:p w14:paraId="506CCB68">
      <w:pPr>
        <w:pStyle w:val="53"/>
        <w:kinsoku/>
        <w:overflowPunct/>
        <w:bidi w:val="0"/>
        <w:spacing w:line="360" w:lineRule="auto"/>
        <w:ind w:firstLine="525" w:firstLineChars="250"/>
        <w:rPr>
          <w:color w:val="auto"/>
          <w:highlight w:val="none"/>
          <w:lang w:val="nb-NO"/>
        </w:rPr>
      </w:pPr>
      <w:r>
        <w:rPr>
          <w:color w:val="auto"/>
          <w:highlight w:val="none"/>
          <w:lang w:val="nb-NO"/>
        </w:rPr>
        <w:t>2</w:t>
      </w:r>
      <w:r>
        <w:rPr>
          <w:rFonts w:hint="eastAsia"/>
          <w:color w:val="auto"/>
          <w:highlight w:val="none"/>
          <w:lang w:val="nb-NO"/>
        </w:rPr>
        <w:t>）3</w:t>
      </w:r>
      <w:r>
        <w:rPr>
          <w:color w:val="auto"/>
          <w:highlight w:val="none"/>
          <w:lang w:val="nb-NO"/>
        </w:rPr>
        <w:t>个测值中的</w:t>
      </w:r>
      <w:r>
        <w:rPr>
          <w:rFonts w:hint="eastAsia"/>
          <w:color w:val="auto"/>
          <w:highlight w:val="none"/>
        </w:rPr>
        <w:t>最大</w:t>
      </w:r>
      <w:r>
        <w:rPr>
          <w:color w:val="auto"/>
          <w:highlight w:val="none"/>
          <w:lang w:val="nb-NO"/>
        </w:rPr>
        <w:t>值或最小值中如有一个与中间值的差值超过中间值的5%时，则把最大及最小值一并舍除，取中间值作为该组试件的</w:t>
      </w:r>
      <w:r>
        <w:rPr>
          <w:rFonts w:hint="eastAsia"/>
          <w:color w:val="auto"/>
          <w:highlight w:val="none"/>
          <w:lang w:val="nb-NO"/>
        </w:rPr>
        <w:t>密度</w:t>
      </w:r>
      <w:r>
        <w:rPr>
          <w:color w:val="auto"/>
          <w:highlight w:val="none"/>
          <w:lang w:val="nb-NO"/>
        </w:rPr>
        <w:t>值；</w:t>
      </w:r>
    </w:p>
    <w:p w14:paraId="78C43F2D">
      <w:pPr>
        <w:pStyle w:val="53"/>
        <w:kinsoku/>
        <w:overflowPunct/>
        <w:bidi w:val="0"/>
        <w:spacing w:line="360" w:lineRule="auto"/>
        <w:ind w:firstLine="525" w:firstLineChars="250"/>
        <w:rPr>
          <w:color w:val="auto"/>
          <w:highlight w:val="none"/>
          <w:lang w:val="nb-NO"/>
        </w:rPr>
      </w:pPr>
      <w:r>
        <w:rPr>
          <w:color w:val="auto"/>
          <w:highlight w:val="none"/>
          <w:lang w:val="nb-NO"/>
        </w:rPr>
        <w:t>3</w:t>
      </w:r>
      <w:r>
        <w:rPr>
          <w:rFonts w:hint="eastAsia"/>
          <w:color w:val="auto"/>
          <w:highlight w:val="none"/>
          <w:lang w:val="nb-NO"/>
        </w:rPr>
        <w:t>）</w:t>
      </w:r>
      <w:r>
        <w:rPr>
          <w:color w:val="auto"/>
          <w:highlight w:val="none"/>
          <w:lang w:val="nb-NO"/>
        </w:rPr>
        <w:t>如最大值和最小值与中间值的差均超过中间值的5%，则该组试件的试验结果无效。</w:t>
      </w:r>
    </w:p>
    <w:p w14:paraId="306EF156">
      <w:pPr>
        <w:kinsoku/>
        <w:overflowPunct/>
        <w:bidi w:val="0"/>
        <w:spacing w:before="156" w:beforeLines="50" w:line="360" w:lineRule="auto"/>
        <w:rPr>
          <w:bCs/>
          <w:color w:val="auto"/>
          <w:highlight w:val="none"/>
        </w:rPr>
      </w:pPr>
      <w:r>
        <w:rPr>
          <w:bCs/>
          <w:color w:val="auto"/>
          <w:szCs w:val="21"/>
          <w:highlight w:val="none"/>
        </w:rPr>
        <w:t>6.12</w:t>
      </w:r>
      <w:r>
        <w:rPr>
          <w:bCs/>
          <w:color w:val="auto"/>
          <w:szCs w:val="21"/>
          <w:highlight w:val="none"/>
          <w:lang w:val="nb-NO"/>
        </w:rPr>
        <w:t>.6</w:t>
      </w:r>
      <w:r>
        <w:rPr>
          <w:rFonts w:hint="eastAsia"/>
          <w:bCs/>
          <w:color w:val="auto"/>
          <w:szCs w:val="21"/>
          <w:highlight w:val="none"/>
          <w:lang w:val="nb-NO"/>
        </w:rPr>
        <w:t xml:space="preserve"> </w:t>
      </w:r>
      <w:r>
        <w:rPr>
          <w:rFonts w:hint="eastAsia"/>
          <w:bCs/>
          <w:color w:val="auto"/>
          <w:highlight w:val="none"/>
        </w:rPr>
        <w:t>测试试件的体积方法应在试验或检测报告中注明。</w:t>
      </w:r>
    </w:p>
    <w:p w14:paraId="5DE96317">
      <w:pPr>
        <w:kinsoku/>
        <w:overflowPunct/>
        <w:bidi w:val="0"/>
        <w:spacing w:before="156" w:beforeLines="50" w:line="360" w:lineRule="auto"/>
        <w:rPr>
          <w:i/>
          <w:iCs/>
          <w:color w:val="auto"/>
          <w:highlight w:val="none"/>
        </w:rPr>
      </w:pPr>
    </w:p>
    <w:p w14:paraId="251924E5">
      <w:pPr>
        <w:pStyle w:val="65"/>
        <w:kinsoku/>
        <w:overflowPunct/>
        <w:bidi w:val="0"/>
        <w:spacing w:before="156" w:beforeLines="50" w:after="156" w:afterLines="50" w:line="360" w:lineRule="auto"/>
        <w:outlineLvl w:val="1"/>
        <w:rPr>
          <w:color w:val="auto"/>
          <w:highlight w:val="none"/>
        </w:rPr>
      </w:pPr>
      <w:bookmarkStart w:id="99" w:name="_Toc13099"/>
      <w:r>
        <w:rPr>
          <w:rFonts w:hint="eastAsia"/>
          <w:color w:val="auto"/>
          <w:highlight w:val="none"/>
        </w:rPr>
        <w:t>6.13 抗冲磨性试验</w:t>
      </w:r>
      <w:bookmarkEnd w:id="99"/>
    </w:p>
    <w:p w14:paraId="79346232">
      <w:pPr>
        <w:kinsoku/>
        <w:overflowPunct/>
        <w:bidi w:val="0"/>
        <w:spacing w:before="156" w:beforeLines="50" w:line="360" w:lineRule="auto"/>
        <w:ind w:right="420"/>
        <w:rPr>
          <w:color w:val="auto"/>
          <w:highlight w:val="none"/>
        </w:rPr>
      </w:pPr>
      <w:r>
        <w:rPr>
          <w:color w:val="auto"/>
          <w:highlight w:val="none"/>
        </w:rPr>
        <w:t>6.13.1</w:t>
      </w:r>
      <w:r>
        <w:rPr>
          <w:rFonts w:hint="eastAsia"/>
          <w:color w:val="auto"/>
          <w:highlight w:val="none"/>
        </w:rPr>
        <w:t>本方法适用于水下水砂冲磨法测定超高性能混凝土的抗冲磨性能。用超高性能混凝土抗冲磨性能与努氏硬度</w:t>
      </w:r>
      <w:r>
        <w:rPr>
          <w:color w:val="auto"/>
          <w:highlight w:val="none"/>
        </w:rPr>
        <w:t>500</w:t>
      </w:r>
      <w:r>
        <w:rPr>
          <w:rFonts w:hint="eastAsia"/>
          <w:color w:val="auto"/>
          <w:highlight w:val="none"/>
        </w:rPr>
        <w:t>的玻璃抗冲磨性能相对比较的抗冲磨指数表示。</w:t>
      </w:r>
    </w:p>
    <w:p w14:paraId="50A93CC8">
      <w:pPr>
        <w:kinsoku/>
        <w:overflowPunct/>
        <w:bidi w:val="0"/>
        <w:spacing w:before="156" w:beforeLines="50" w:line="360" w:lineRule="auto"/>
        <w:ind w:right="420"/>
        <w:rPr>
          <w:color w:val="auto"/>
          <w:highlight w:val="none"/>
        </w:rPr>
      </w:pPr>
      <w:r>
        <w:rPr>
          <w:color w:val="auto"/>
          <w:highlight w:val="none"/>
        </w:rPr>
        <w:t xml:space="preserve">6.13.2 </w:t>
      </w:r>
      <w:r>
        <w:rPr>
          <w:rFonts w:hint="eastAsia"/>
          <w:color w:val="auto"/>
          <w:highlight w:val="none"/>
        </w:rPr>
        <w:t>试件尺寸、数量和技术要求应符合下列规定</w:t>
      </w:r>
      <w:r>
        <w:rPr>
          <w:color w:val="auto"/>
          <w:highlight w:val="none"/>
        </w:rPr>
        <w:t>:</w:t>
      </w:r>
    </w:p>
    <w:p w14:paraId="270A7140">
      <w:pPr>
        <w:kinsoku/>
        <w:overflowPunct/>
        <w:bidi w:val="0"/>
        <w:spacing w:before="156" w:beforeLines="50" w:line="360" w:lineRule="auto"/>
        <w:ind w:firstLine="315" w:firstLineChars="150"/>
        <w:rPr>
          <w:color w:val="auto"/>
          <w:highlight w:val="none"/>
        </w:rPr>
      </w:pPr>
      <w:r>
        <w:rPr>
          <w:color w:val="auto"/>
          <w:highlight w:val="none"/>
        </w:rPr>
        <w:t xml:space="preserve">1 </w:t>
      </w:r>
      <w:r>
        <w:rPr>
          <w:rFonts w:hint="eastAsia"/>
          <w:color w:val="auto"/>
          <w:highlight w:val="none"/>
        </w:rPr>
        <w:t>超高性能混凝土采用边长</w:t>
      </w:r>
      <w:r>
        <w:rPr>
          <w:color w:val="auto"/>
          <w:highlight w:val="none"/>
        </w:rPr>
        <w:t>100mm</w:t>
      </w:r>
      <w:r>
        <w:rPr>
          <w:rFonts w:hint="eastAsia"/>
          <w:color w:val="auto"/>
          <w:highlight w:val="none"/>
        </w:rPr>
        <w:t>×</w:t>
      </w:r>
      <w:r>
        <w:rPr>
          <w:color w:val="auto"/>
          <w:highlight w:val="none"/>
        </w:rPr>
        <w:t>100mm</w:t>
      </w:r>
      <w:r>
        <w:rPr>
          <w:rFonts w:hint="eastAsia"/>
          <w:color w:val="auto"/>
          <w:highlight w:val="none"/>
        </w:rPr>
        <w:t>、高度</w:t>
      </w:r>
      <w:r>
        <w:rPr>
          <w:color w:val="auto"/>
          <w:highlight w:val="none"/>
        </w:rPr>
        <w:t>35</w:t>
      </w:r>
      <w:r>
        <w:rPr>
          <w:rFonts w:hint="eastAsia"/>
          <w:color w:val="auto"/>
          <w:highlight w:val="none"/>
        </w:rPr>
        <w:t>±</w:t>
      </w:r>
      <w:r>
        <w:rPr>
          <w:color w:val="auto"/>
          <w:highlight w:val="none"/>
        </w:rPr>
        <w:t>1mm</w:t>
      </w:r>
      <w:r>
        <w:rPr>
          <w:rFonts w:hint="eastAsia"/>
          <w:color w:val="auto"/>
          <w:highlight w:val="none"/>
        </w:rPr>
        <w:t>的板形试件，试件制作时的脱模面作为试件的冲磨试验面，可为立方体试件成型的侧面或底面。每组试件的数量为</w:t>
      </w:r>
      <w:r>
        <w:rPr>
          <w:color w:val="auto"/>
          <w:highlight w:val="none"/>
        </w:rPr>
        <w:t>3</w:t>
      </w:r>
      <w:r>
        <w:rPr>
          <w:rFonts w:hint="eastAsia"/>
          <w:color w:val="auto"/>
          <w:highlight w:val="none"/>
        </w:rPr>
        <w:t>块。</w:t>
      </w:r>
    </w:p>
    <w:p w14:paraId="424A2B65">
      <w:pPr>
        <w:pStyle w:val="53"/>
        <w:kinsoku/>
        <w:overflowPunct/>
        <w:bidi w:val="0"/>
        <w:spacing w:line="360" w:lineRule="auto"/>
        <w:rPr>
          <w:color w:val="auto"/>
          <w:highlight w:val="none"/>
        </w:rPr>
      </w:pPr>
      <w:r>
        <w:rPr>
          <w:bCs w:val="0"/>
          <w:color w:val="auto"/>
          <w:highlight w:val="none"/>
        </w:rPr>
        <w:t xml:space="preserve">2 </w:t>
      </w:r>
      <w:r>
        <w:rPr>
          <w:rFonts w:hint="eastAsia"/>
          <w:bCs w:val="0"/>
          <w:color w:val="auto"/>
          <w:highlight w:val="none"/>
        </w:rPr>
        <w:t>玻璃板宜采用边长</w:t>
      </w:r>
      <w:r>
        <w:rPr>
          <w:bCs w:val="0"/>
          <w:color w:val="auto"/>
          <w:highlight w:val="none"/>
        </w:rPr>
        <w:t>100mm</w:t>
      </w:r>
      <w:r>
        <w:rPr>
          <w:rFonts w:hint="eastAsia"/>
          <w:bCs w:val="0"/>
          <w:color w:val="auto"/>
          <w:highlight w:val="none"/>
        </w:rPr>
        <w:t>×</w:t>
      </w:r>
      <w:r>
        <w:rPr>
          <w:bCs w:val="0"/>
          <w:color w:val="auto"/>
          <w:highlight w:val="none"/>
        </w:rPr>
        <w:t>100mm</w:t>
      </w:r>
      <w:r>
        <w:rPr>
          <w:rFonts w:hint="eastAsia"/>
          <w:bCs w:val="0"/>
          <w:color w:val="auto"/>
          <w:highlight w:val="none"/>
        </w:rPr>
        <w:t>、厚度</w:t>
      </w:r>
      <w:r>
        <w:rPr>
          <w:bCs w:val="0"/>
          <w:color w:val="auto"/>
          <w:highlight w:val="none"/>
        </w:rPr>
        <w:t>25</w:t>
      </w:r>
      <w:r>
        <w:rPr>
          <w:rFonts w:hint="eastAsia"/>
          <w:bCs w:val="0"/>
          <w:color w:val="auto"/>
          <w:highlight w:val="none"/>
        </w:rPr>
        <w:t>±</w:t>
      </w:r>
      <w:r>
        <w:rPr>
          <w:bCs w:val="0"/>
          <w:color w:val="auto"/>
          <w:highlight w:val="none"/>
        </w:rPr>
        <w:t>0.5mm</w:t>
      </w:r>
      <w:r>
        <w:rPr>
          <w:rFonts w:hint="eastAsia"/>
          <w:bCs w:val="0"/>
          <w:color w:val="auto"/>
          <w:highlight w:val="none"/>
        </w:rPr>
        <w:t>的板形试件，应采用密度在</w:t>
      </w:r>
      <w:r>
        <w:rPr>
          <w:bCs w:val="0"/>
          <w:color w:val="auto"/>
          <w:highlight w:val="none"/>
        </w:rPr>
        <w:t>2400kg/m</w:t>
      </w:r>
      <w:r>
        <w:rPr>
          <w:bCs w:val="0"/>
          <w:color w:val="auto"/>
          <w:highlight w:val="none"/>
          <w:vertAlign w:val="superscript"/>
        </w:rPr>
        <w:t>3</w:t>
      </w:r>
      <w:r>
        <w:rPr>
          <w:bCs w:val="0"/>
          <w:color w:val="auto"/>
          <w:highlight w:val="none"/>
        </w:rPr>
        <w:t>~2600kg/m</w:t>
      </w:r>
      <w:r>
        <w:rPr>
          <w:bCs w:val="0"/>
          <w:color w:val="auto"/>
          <w:highlight w:val="none"/>
          <w:vertAlign w:val="superscript"/>
        </w:rPr>
        <w:t>3</w:t>
      </w:r>
      <w:r>
        <w:rPr>
          <w:rFonts w:hint="eastAsia"/>
          <w:bCs w:val="0"/>
          <w:color w:val="auto"/>
          <w:highlight w:val="none"/>
        </w:rPr>
        <w:t>之间、努氏硬度为</w:t>
      </w:r>
      <w:r>
        <w:rPr>
          <w:bCs w:val="0"/>
          <w:color w:val="auto"/>
          <w:highlight w:val="none"/>
        </w:rPr>
        <w:t>500</w:t>
      </w:r>
      <w:r>
        <w:rPr>
          <w:rFonts w:hint="eastAsia"/>
          <w:bCs w:val="0"/>
          <w:color w:val="auto"/>
          <w:highlight w:val="none"/>
        </w:rPr>
        <w:t>的玻璃。每组试件的数量为</w:t>
      </w:r>
      <w:r>
        <w:rPr>
          <w:bCs w:val="0"/>
          <w:color w:val="auto"/>
          <w:highlight w:val="none"/>
        </w:rPr>
        <w:t>2</w:t>
      </w:r>
      <w:r>
        <w:rPr>
          <w:rFonts w:hint="eastAsia"/>
          <w:bCs w:val="0"/>
          <w:color w:val="auto"/>
          <w:highlight w:val="none"/>
        </w:rPr>
        <w:t>块。</w:t>
      </w:r>
    </w:p>
    <w:p w14:paraId="0526B5A1">
      <w:pPr>
        <w:kinsoku/>
        <w:overflowPunct/>
        <w:bidi w:val="0"/>
        <w:spacing w:before="156" w:beforeLines="50" w:line="360" w:lineRule="auto"/>
        <w:ind w:right="420"/>
        <w:rPr>
          <w:color w:val="auto"/>
          <w:highlight w:val="none"/>
        </w:rPr>
      </w:pPr>
      <w:r>
        <w:rPr>
          <w:color w:val="auto"/>
          <w:highlight w:val="none"/>
        </w:rPr>
        <w:t xml:space="preserve">6.13.3 </w:t>
      </w:r>
      <w:r>
        <w:rPr>
          <w:rFonts w:hint="eastAsia"/>
          <w:color w:val="auto"/>
          <w:highlight w:val="none"/>
        </w:rPr>
        <w:t>试验装置应符合下列规定</w:t>
      </w:r>
    </w:p>
    <w:p w14:paraId="1CA2FCC5">
      <w:pPr>
        <w:kinsoku/>
        <w:overflowPunct/>
        <w:bidi w:val="0"/>
        <w:spacing w:before="156" w:beforeLines="50" w:line="360" w:lineRule="auto"/>
        <w:ind w:firstLine="315" w:firstLineChars="150"/>
        <w:rPr>
          <w:color w:val="auto"/>
          <w:highlight w:val="none"/>
        </w:rPr>
      </w:pPr>
      <w:r>
        <w:rPr>
          <w:bCs/>
          <w:color w:val="auto"/>
          <w:highlight w:val="none"/>
        </w:rPr>
        <w:t xml:space="preserve">1 </w:t>
      </w:r>
      <w:r>
        <w:rPr>
          <w:rFonts w:hint="eastAsia"/>
          <w:bCs/>
          <w:color w:val="auto"/>
          <w:highlight w:val="none"/>
        </w:rPr>
        <w:t>超高性能混凝土抗冲磨性能测试用试验装置如图</w:t>
      </w:r>
      <w:r>
        <w:rPr>
          <w:bCs/>
          <w:color w:val="auto"/>
          <w:highlight w:val="none"/>
        </w:rPr>
        <w:t>6.13.2</w:t>
      </w:r>
      <w:r>
        <w:rPr>
          <w:rFonts w:hint="eastAsia"/>
          <w:bCs/>
          <w:color w:val="auto"/>
          <w:highlight w:val="none"/>
        </w:rPr>
        <w:t>所示：</w:t>
      </w:r>
    </w:p>
    <w:p w14:paraId="7689878B">
      <w:pPr>
        <w:pStyle w:val="53"/>
        <w:kinsoku/>
        <w:overflowPunct/>
        <w:bidi w:val="0"/>
        <w:spacing w:line="360" w:lineRule="auto"/>
        <w:jc w:val="center"/>
        <w:rPr>
          <w:color w:val="auto"/>
          <w:highlight w:val="none"/>
        </w:rPr>
      </w:pPr>
      <w:r>
        <w:rPr>
          <w:color w:val="auto"/>
          <w:highlight w:val="none"/>
        </w:rPr>
        <w:drawing>
          <wp:inline distT="0" distB="0" distL="0" distR="0">
            <wp:extent cx="2535555" cy="1579245"/>
            <wp:effectExtent l="0" t="0" r="0" b="1905"/>
            <wp:docPr id="802922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22836" name="图片 1"/>
                    <pic:cNvPicPr>
                      <a:picLocks noChangeAspect="1"/>
                    </pic:cNvPicPr>
                  </pic:nvPicPr>
                  <pic:blipFill>
                    <a:blip r:embed="rId141"/>
                    <a:stretch>
                      <a:fillRect/>
                    </a:stretch>
                  </pic:blipFill>
                  <pic:spPr>
                    <a:xfrm flipV="1">
                      <a:off x="0" y="0"/>
                      <a:ext cx="2547505" cy="1586779"/>
                    </a:xfrm>
                    <a:prstGeom prst="rect">
                      <a:avLst/>
                    </a:prstGeom>
                  </pic:spPr>
                </pic:pic>
              </a:graphicData>
            </a:graphic>
          </wp:inline>
        </w:drawing>
      </w:r>
    </w:p>
    <w:p w14:paraId="3D300642">
      <w:pPr>
        <w:kinsoku/>
        <w:overflowPunct/>
        <w:bidi w:val="0"/>
        <w:spacing w:line="360" w:lineRule="auto"/>
        <w:ind w:firstLine="420" w:firstLineChars="200"/>
        <w:jc w:val="center"/>
        <w:rPr>
          <w:color w:val="auto"/>
          <w:highlight w:val="none"/>
        </w:rPr>
      </w:pPr>
      <w:r>
        <w:rPr>
          <w:rFonts w:hint="eastAsia"/>
          <w:color w:val="auto"/>
          <w:highlight w:val="none"/>
        </w:rPr>
        <w:t>图</w:t>
      </w:r>
      <w:r>
        <w:rPr>
          <w:color w:val="auto"/>
          <w:highlight w:val="none"/>
        </w:rPr>
        <w:t xml:space="preserve">6.13.2 </w:t>
      </w:r>
      <w:r>
        <w:rPr>
          <w:rFonts w:hint="eastAsia"/>
          <w:color w:val="auto"/>
          <w:highlight w:val="none"/>
        </w:rPr>
        <w:t>抗冲磨性能试验设备示意图</w:t>
      </w:r>
    </w:p>
    <w:p w14:paraId="7E4FACCC">
      <w:pPr>
        <w:kinsoku/>
        <w:overflowPunct/>
        <w:bidi w:val="0"/>
        <w:spacing w:before="156" w:beforeLines="50" w:line="360" w:lineRule="auto"/>
        <w:ind w:left="600" w:leftChars="200" w:hanging="180" w:hangingChars="100"/>
        <w:jc w:val="center"/>
        <w:rPr>
          <w:color w:val="auto"/>
          <w:sz w:val="18"/>
          <w:szCs w:val="18"/>
          <w:highlight w:val="none"/>
        </w:rPr>
      </w:pPr>
      <w:r>
        <w:rPr>
          <w:color w:val="auto"/>
          <w:sz w:val="18"/>
          <w:szCs w:val="18"/>
          <w:highlight w:val="none"/>
        </w:rPr>
        <w:t>A</w:t>
      </w:r>
      <w:r>
        <w:rPr>
          <w:rFonts w:hint="eastAsia"/>
          <w:color w:val="auto"/>
          <w:sz w:val="18"/>
          <w:szCs w:val="18"/>
          <w:highlight w:val="none"/>
        </w:rPr>
        <w:t>—水箱；</w:t>
      </w:r>
      <w:r>
        <w:rPr>
          <w:color w:val="auto"/>
          <w:sz w:val="18"/>
          <w:szCs w:val="18"/>
          <w:highlight w:val="none"/>
        </w:rPr>
        <w:t>B</w:t>
      </w:r>
      <w:r>
        <w:rPr>
          <w:rFonts w:hint="eastAsia"/>
          <w:color w:val="auto"/>
          <w:sz w:val="18"/>
          <w:szCs w:val="18"/>
          <w:highlight w:val="none"/>
        </w:rPr>
        <w:t>—水泵；</w:t>
      </w:r>
      <w:r>
        <w:rPr>
          <w:color w:val="auto"/>
          <w:sz w:val="18"/>
          <w:szCs w:val="18"/>
          <w:highlight w:val="none"/>
        </w:rPr>
        <w:t>C</w:t>
      </w:r>
      <w:r>
        <w:rPr>
          <w:rFonts w:hint="eastAsia"/>
          <w:color w:val="auto"/>
          <w:sz w:val="18"/>
          <w:szCs w:val="18"/>
          <w:highlight w:val="none"/>
        </w:rPr>
        <w:t>—喷嘴；</w:t>
      </w:r>
      <w:r>
        <w:rPr>
          <w:color w:val="auto"/>
          <w:sz w:val="18"/>
          <w:szCs w:val="18"/>
          <w:highlight w:val="none"/>
        </w:rPr>
        <w:t>D</w:t>
      </w:r>
      <w:r>
        <w:rPr>
          <w:rFonts w:hint="eastAsia"/>
          <w:color w:val="auto"/>
          <w:sz w:val="18"/>
          <w:szCs w:val="18"/>
          <w:highlight w:val="none"/>
        </w:rPr>
        <w:t>—砂池；</w:t>
      </w:r>
      <w:r>
        <w:rPr>
          <w:color w:val="auto"/>
          <w:sz w:val="18"/>
          <w:szCs w:val="18"/>
          <w:highlight w:val="none"/>
        </w:rPr>
        <w:t>E</w:t>
      </w:r>
      <w:r>
        <w:rPr>
          <w:rFonts w:hint="eastAsia"/>
          <w:color w:val="auto"/>
          <w:sz w:val="18"/>
          <w:szCs w:val="18"/>
          <w:highlight w:val="none"/>
        </w:rPr>
        <w:t>—水管；</w:t>
      </w:r>
      <w:r>
        <w:rPr>
          <w:color w:val="auto"/>
          <w:sz w:val="18"/>
          <w:szCs w:val="18"/>
          <w:highlight w:val="none"/>
        </w:rPr>
        <w:t>F</w:t>
      </w:r>
      <w:r>
        <w:rPr>
          <w:rFonts w:hint="eastAsia"/>
          <w:color w:val="auto"/>
          <w:sz w:val="18"/>
          <w:szCs w:val="18"/>
          <w:highlight w:val="none"/>
        </w:rPr>
        <w:t>—试件；</w:t>
      </w:r>
      <w:r>
        <w:rPr>
          <w:color w:val="auto"/>
          <w:sz w:val="18"/>
          <w:szCs w:val="18"/>
          <w:highlight w:val="none"/>
        </w:rPr>
        <w:t>G</w:t>
      </w:r>
      <w:r>
        <w:rPr>
          <w:rFonts w:hint="eastAsia"/>
          <w:color w:val="auto"/>
          <w:sz w:val="18"/>
          <w:szCs w:val="18"/>
          <w:highlight w:val="none"/>
        </w:rPr>
        <w:t>—试件固定平台和导轨；</w:t>
      </w:r>
      <w:r>
        <w:rPr>
          <w:color w:val="auto"/>
          <w:sz w:val="18"/>
          <w:szCs w:val="18"/>
          <w:highlight w:val="none"/>
        </w:rPr>
        <w:t>H</w:t>
      </w:r>
      <w:r>
        <w:rPr>
          <w:rFonts w:hint="eastAsia"/>
          <w:color w:val="auto"/>
          <w:sz w:val="18"/>
          <w:szCs w:val="18"/>
          <w:highlight w:val="none"/>
        </w:rPr>
        <w:t>—滤网</w:t>
      </w:r>
    </w:p>
    <w:p w14:paraId="3323E591">
      <w:pPr>
        <w:pStyle w:val="53"/>
        <w:kinsoku/>
        <w:overflowPunct/>
        <w:bidi w:val="0"/>
        <w:spacing w:line="360" w:lineRule="auto"/>
        <w:rPr>
          <w:color w:val="auto"/>
          <w:highlight w:val="none"/>
        </w:rPr>
      </w:pPr>
      <w:r>
        <w:rPr>
          <w:color w:val="auto"/>
          <w:highlight w:val="none"/>
        </w:rPr>
        <w:t xml:space="preserve">2 </w:t>
      </w:r>
      <w:r>
        <w:rPr>
          <w:rFonts w:hint="eastAsia"/>
          <w:color w:val="auto"/>
          <w:highlight w:val="none"/>
        </w:rPr>
        <w:t>水泵：能为喷嘴出口提供</w:t>
      </w:r>
      <w:r>
        <w:rPr>
          <w:color w:val="auto"/>
          <w:highlight w:val="none"/>
        </w:rPr>
        <w:t>0.3MPa</w:t>
      </w:r>
      <w:r>
        <w:rPr>
          <w:rFonts w:hint="eastAsia"/>
          <w:color w:val="auto"/>
          <w:highlight w:val="none"/>
        </w:rPr>
        <w:t>压力水的射流；</w:t>
      </w:r>
    </w:p>
    <w:p w14:paraId="032AA812">
      <w:pPr>
        <w:pStyle w:val="53"/>
        <w:kinsoku/>
        <w:overflowPunct/>
        <w:bidi w:val="0"/>
        <w:spacing w:line="360" w:lineRule="auto"/>
        <w:rPr>
          <w:color w:val="auto"/>
          <w:highlight w:val="none"/>
        </w:rPr>
      </w:pPr>
      <w:r>
        <w:rPr>
          <w:color w:val="auto"/>
          <w:highlight w:val="none"/>
        </w:rPr>
        <w:t xml:space="preserve">3 </w:t>
      </w:r>
      <w:r>
        <w:rPr>
          <w:rFonts w:hint="eastAsia"/>
          <w:color w:val="auto"/>
          <w:highlight w:val="none"/>
        </w:rPr>
        <w:t>喷嘴：直径</w:t>
      </w:r>
      <w:r>
        <w:rPr>
          <w:color w:val="auto"/>
          <w:highlight w:val="none"/>
        </w:rPr>
        <w:t>20mm</w:t>
      </w:r>
      <w:r>
        <w:rPr>
          <w:rFonts w:hint="eastAsia"/>
          <w:color w:val="auto"/>
          <w:highlight w:val="none"/>
        </w:rPr>
        <w:t>±</w:t>
      </w:r>
      <w:r>
        <w:rPr>
          <w:color w:val="auto"/>
          <w:highlight w:val="none"/>
        </w:rPr>
        <w:t>2mm</w:t>
      </w:r>
      <w:r>
        <w:rPr>
          <w:rFonts w:hint="eastAsia"/>
          <w:color w:val="auto"/>
          <w:highlight w:val="none"/>
        </w:rPr>
        <w:t>的中心喷管；</w:t>
      </w:r>
    </w:p>
    <w:p w14:paraId="167E7D74">
      <w:pPr>
        <w:pStyle w:val="53"/>
        <w:kinsoku/>
        <w:overflowPunct/>
        <w:bidi w:val="0"/>
        <w:spacing w:line="360" w:lineRule="auto"/>
        <w:rPr>
          <w:color w:val="auto"/>
          <w:highlight w:val="none"/>
        </w:rPr>
      </w:pPr>
      <w:r>
        <w:rPr>
          <w:color w:val="auto"/>
          <w:highlight w:val="none"/>
        </w:rPr>
        <w:t xml:space="preserve">4 </w:t>
      </w:r>
      <w:r>
        <w:rPr>
          <w:rFonts w:hint="eastAsia"/>
          <w:color w:val="auto"/>
          <w:highlight w:val="none"/>
        </w:rPr>
        <w:t>试件固定平台和导轨：能将试件冲磨面固定在与喷嘴成</w:t>
      </w:r>
      <w:r>
        <w:rPr>
          <w:color w:val="auto"/>
          <w:highlight w:val="none"/>
        </w:rPr>
        <w:t>45</w:t>
      </w:r>
      <w:r>
        <w:rPr>
          <w:rFonts w:hint="eastAsia"/>
          <w:color w:val="auto"/>
          <w:highlight w:val="none"/>
        </w:rPr>
        <w:t>°±</w:t>
      </w:r>
      <w:r>
        <w:rPr>
          <w:color w:val="auto"/>
          <w:highlight w:val="none"/>
        </w:rPr>
        <w:t>0.5</w:t>
      </w:r>
      <w:r>
        <w:rPr>
          <w:rFonts w:hint="eastAsia"/>
          <w:color w:val="auto"/>
          <w:highlight w:val="none"/>
        </w:rPr>
        <w:t>°、距离</w:t>
      </w:r>
      <w:r>
        <w:rPr>
          <w:color w:val="auto"/>
          <w:highlight w:val="none"/>
        </w:rPr>
        <w:t>62mm</w:t>
      </w:r>
      <w:r>
        <w:rPr>
          <w:rFonts w:hint="eastAsia"/>
          <w:color w:val="auto"/>
          <w:highlight w:val="none"/>
        </w:rPr>
        <w:t>±</w:t>
      </w:r>
      <w:r>
        <w:rPr>
          <w:color w:val="auto"/>
          <w:highlight w:val="none"/>
        </w:rPr>
        <w:t>2mm</w:t>
      </w:r>
      <w:r>
        <w:rPr>
          <w:rFonts w:hint="eastAsia"/>
          <w:color w:val="auto"/>
          <w:highlight w:val="none"/>
        </w:rPr>
        <w:t>的位置；</w:t>
      </w:r>
    </w:p>
    <w:p w14:paraId="3BF72E7F">
      <w:pPr>
        <w:pStyle w:val="53"/>
        <w:kinsoku/>
        <w:overflowPunct/>
        <w:bidi w:val="0"/>
        <w:spacing w:line="360" w:lineRule="auto"/>
        <w:rPr>
          <w:color w:val="auto"/>
          <w:highlight w:val="none"/>
        </w:rPr>
      </w:pPr>
      <w:r>
        <w:rPr>
          <w:color w:val="auto"/>
          <w:highlight w:val="none"/>
        </w:rPr>
        <w:t xml:space="preserve">5 </w:t>
      </w:r>
      <w:r>
        <w:rPr>
          <w:rFonts w:hint="eastAsia"/>
          <w:color w:val="auto"/>
          <w:highlight w:val="none"/>
        </w:rPr>
        <w:t>冲磨用砂采用石英砂，石英砂的</w:t>
      </w:r>
      <w:r>
        <w:rPr>
          <w:color w:val="auto"/>
          <w:highlight w:val="none"/>
        </w:rPr>
        <w:t>SiO2</w:t>
      </w:r>
      <w:r>
        <w:rPr>
          <w:rFonts w:hint="eastAsia"/>
          <w:color w:val="auto"/>
          <w:highlight w:val="none"/>
        </w:rPr>
        <w:t>含量不小于</w:t>
      </w:r>
      <w:r>
        <w:rPr>
          <w:color w:val="auto"/>
          <w:highlight w:val="none"/>
        </w:rPr>
        <w:t>97%</w:t>
      </w:r>
      <w:r>
        <w:rPr>
          <w:rFonts w:hint="eastAsia"/>
          <w:color w:val="auto"/>
          <w:highlight w:val="none"/>
        </w:rPr>
        <w:t>，莫氏硬度为</w:t>
      </w:r>
      <w:r>
        <w:rPr>
          <w:color w:val="auto"/>
          <w:highlight w:val="none"/>
        </w:rPr>
        <w:t>7</w:t>
      </w:r>
      <w:r>
        <w:rPr>
          <w:rFonts w:hint="eastAsia"/>
          <w:color w:val="auto"/>
          <w:highlight w:val="none"/>
        </w:rPr>
        <w:t>，</w:t>
      </w:r>
      <w:r>
        <w:rPr>
          <w:color w:val="auto"/>
          <w:highlight w:val="none"/>
        </w:rPr>
        <w:t>1mm</w:t>
      </w:r>
      <w:r>
        <w:rPr>
          <w:rFonts w:hint="eastAsia"/>
          <w:color w:val="auto"/>
          <w:highlight w:val="none"/>
        </w:rPr>
        <w:t>～</w:t>
      </w:r>
      <w:r>
        <w:rPr>
          <w:color w:val="auto"/>
          <w:highlight w:val="none"/>
        </w:rPr>
        <w:t>4mm</w:t>
      </w:r>
      <w:r>
        <w:rPr>
          <w:rFonts w:hint="eastAsia"/>
          <w:color w:val="auto"/>
          <w:highlight w:val="none"/>
        </w:rPr>
        <w:t>的颗粒含量不低于</w:t>
      </w:r>
      <w:r>
        <w:rPr>
          <w:color w:val="auto"/>
          <w:highlight w:val="none"/>
        </w:rPr>
        <w:t>95%</w:t>
      </w:r>
      <w:r>
        <w:rPr>
          <w:rFonts w:hint="eastAsia"/>
          <w:color w:val="auto"/>
          <w:highlight w:val="none"/>
        </w:rPr>
        <w:t>。当玻璃试件的磨耗体积减少到新砂初次使用时的磨耗体积的</w:t>
      </w:r>
      <w:r>
        <w:rPr>
          <w:color w:val="auto"/>
          <w:highlight w:val="none"/>
        </w:rPr>
        <w:t>(60</w:t>
      </w:r>
      <w:r>
        <w:rPr>
          <w:rFonts w:hint="eastAsia"/>
          <w:color w:val="auto"/>
          <w:highlight w:val="none"/>
        </w:rPr>
        <w:t>±</w:t>
      </w:r>
      <w:r>
        <w:rPr>
          <w:color w:val="auto"/>
          <w:highlight w:val="none"/>
        </w:rPr>
        <w:t>5)%</w:t>
      </w:r>
      <w:r>
        <w:rPr>
          <w:rFonts w:hint="eastAsia"/>
          <w:color w:val="auto"/>
          <w:highlight w:val="none"/>
        </w:rPr>
        <w:t>时，应更换石英砂；</w:t>
      </w:r>
    </w:p>
    <w:p w14:paraId="0D2372F2">
      <w:pPr>
        <w:pStyle w:val="53"/>
        <w:kinsoku/>
        <w:overflowPunct/>
        <w:bidi w:val="0"/>
        <w:spacing w:line="360" w:lineRule="auto"/>
        <w:rPr>
          <w:color w:val="auto"/>
          <w:highlight w:val="none"/>
        </w:rPr>
      </w:pPr>
      <w:r>
        <w:rPr>
          <w:color w:val="auto"/>
          <w:highlight w:val="none"/>
        </w:rPr>
        <w:t xml:space="preserve">6 </w:t>
      </w:r>
      <w:r>
        <w:rPr>
          <w:rFonts w:hint="eastAsia"/>
          <w:color w:val="auto"/>
          <w:highlight w:val="none"/>
        </w:rPr>
        <w:t>砂池应设置在能保证</w:t>
      </w:r>
      <w:r>
        <w:rPr>
          <w:color w:val="auto"/>
          <w:highlight w:val="none"/>
        </w:rPr>
        <w:t>4mm</w:t>
      </w:r>
      <w:r>
        <w:rPr>
          <w:rFonts w:hint="eastAsia"/>
          <w:color w:val="auto"/>
          <w:highlight w:val="none"/>
        </w:rPr>
        <w:t>石英砂颗粒能吸入射流水砂混合物中参与冲磨的位置。</w:t>
      </w:r>
    </w:p>
    <w:p w14:paraId="186F6438">
      <w:pPr>
        <w:kinsoku/>
        <w:overflowPunct/>
        <w:bidi w:val="0"/>
        <w:spacing w:before="156" w:beforeLines="50" w:line="360" w:lineRule="auto"/>
        <w:ind w:right="420"/>
        <w:rPr>
          <w:color w:val="auto"/>
          <w:highlight w:val="none"/>
        </w:rPr>
      </w:pPr>
      <w:r>
        <w:rPr>
          <w:color w:val="auto"/>
          <w:highlight w:val="none"/>
        </w:rPr>
        <w:t xml:space="preserve">6.13.4 </w:t>
      </w:r>
      <w:r>
        <w:rPr>
          <w:rFonts w:hint="eastAsia"/>
          <w:color w:val="auto"/>
          <w:highlight w:val="none"/>
        </w:rPr>
        <w:t>试件制作和准备应符合下列规定：</w:t>
      </w:r>
    </w:p>
    <w:p w14:paraId="3ED00194">
      <w:pPr>
        <w:pStyle w:val="53"/>
        <w:kinsoku/>
        <w:overflowPunct/>
        <w:bidi w:val="0"/>
        <w:spacing w:line="360" w:lineRule="auto"/>
        <w:rPr>
          <w:bCs w:val="0"/>
          <w:color w:val="auto"/>
          <w:highlight w:val="none"/>
        </w:rPr>
      </w:pPr>
      <w:r>
        <w:rPr>
          <w:color w:val="auto"/>
          <w:highlight w:val="none"/>
        </w:rPr>
        <w:t xml:space="preserve">1 </w:t>
      </w:r>
      <w:r>
        <w:rPr>
          <w:rFonts w:hint="eastAsia"/>
          <w:color w:val="auto"/>
          <w:highlight w:val="none"/>
        </w:rPr>
        <w:t>混凝土抗冲磨试件在</w:t>
      </w:r>
      <w:r>
        <w:rPr>
          <w:color w:val="auto"/>
          <w:highlight w:val="none"/>
        </w:rPr>
        <w:t>100mm</w:t>
      </w:r>
      <w:r>
        <w:rPr>
          <w:rFonts w:hint="eastAsia"/>
          <w:color w:val="auto"/>
          <w:highlight w:val="none"/>
        </w:rPr>
        <w:t>立方体试模中浇筑成</w:t>
      </w:r>
      <w:r>
        <w:rPr>
          <w:color w:val="auto"/>
          <w:highlight w:val="none"/>
        </w:rPr>
        <w:t>100mm</w:t>
      </w:r>
      <w:r>
        <w:rPr>
          <w:rFonts w:hint="eastAsia"/>
          <w:color w:val="auto"/>
          <w:highlight w:val="none"/>
        </w:rPr>
        <w:t>×</w:t>
      </w:r>
      <w:r>
        <w:rPr>
          <w:color w:val="auto"/>
          <w:highlight w:val="none"/>
        </w:rPr>
        <w:t>100mm</w:t>
      </w:r>
      <w:r>
        <w:rPr>
          <w:rFonts w:hint="eastAsia"/>
          <w:color w:val="auto"/>
          <w:highlight w:val="none"/>
        </w:rPr>
        <w:t>×</w:t>
      </w:r>
      <w:r>
        <w:rPr>
          <w:color w:val="auto"/>
          <w:highlight w:val="none"/>
        </w:rPr>
        <w:t>35mm</w:t>
      </w:r>
      <w:r>
        <w:rPr>
          <w:rFonts w:hint="eastAsia"/>
          <w:color w:val="auto"/>
          <w:highlight w:val="none"/>
        </w:rPr>
        <w:t>的试件，也可一次性浇筑成</w:t>
      </w:r>
      <w:r>
        <w:rPr>
          <w:color w:val="auto"/>
          <w:highlight w:val="none"/>
        </w:rPr>
        <w:t>100mm</w:t>
      </w:r>
      <w:r>
        <w:rPr>
          <w:rFonts w:hint="eastAsia"/>
          <w:color w:val="auto"/>
          <w:highlight w:val="none"/>
        </w:rPr>
        <w:t>立方体，混凝土硬化后，用金刚石锯切割成</w:t>
      </w:r>
      <w:r>
        <w:rPr>
          <w:color w:val="auto"/>
          <w:highlight w:val="none"/>
        </w:rPr>
        <w:t>100mm</w:t>
      </w:r>
      <w:r>
        <w:rPr>
          <w:rFonts w:hint="eastAsia"/>
          <w:color w:val="auto"/>
          <w:highlight w:val="none"/>
        </w:rPr>
        <w:t>×</w:t>
      </w:r>
      <w:r>
        <w:rPr>
          <w:color w:val="auto"/>
          <w:highlight w:val="none"/>
        </w:rPr>
        <w:t>100mm</w:t>
      </w:r>
      <w:r>
        <w:rPr>
          <w:rFonts w:hint="eastAsia"/>
          <w:color w:val="auto"/>
          <w:highlight w:val="none"/>
        </w:rPr>
        <w:t>×</w:t>
      </w:r>
      <w:r>
        <w:rPr>
          <w:color w:val="auto"/>
          <w:highlight w:val="none"/>
        </w:rPr>
        <w:t>35mm</w:t>
      </w:r>
      <w:r>
        <w:rPr>
          <w:rFonts w:hint="eastAsia"/>
          <w:color w:val="auto"/>
          <w:highlight w:val="none"/>
        </w:rPr>
        <w:t>的试件。</w:t>
      </w:r>
    </w:p>
    <w:p w14:paraId="415720FB">
      <w:pPr>
        <w:pStyle w:val="53"/>
        <w:kinsoku/>
        <w:overflowPunct/>
        <w:bidi w:val="0"/>
        <w:spacing w:line="360" w:lineRule="auto"/>
        <w:rPr>
          <w:color w:val="auto"/>
          <w:highlight w:val="none"/>
        </w:rPr>
      </w:pPr>
      <w:r>
        <w:rPr>
          <w:color w:val="auto"/>
          <w:highlight w:val="none"/>
        </w:rPr>
        <w:t xml:space="preserve">2 </w:t>
      </w:r>
      <w:r>
        <w:rPr>
          <w:rFonts w:hint="eastAsia"/>
          <w:color w:val="auto"/>
          <w:highlight w:val="none"/>
        </w:rPr>
        <w:t>标准养护的试件在标准条件下养护</w:t>
      </w:r>
      <w:r>
        <w:rPr>
          <w:color w:val="auto"/>
          <w:highlight w:val="none"/>
        </w:rPr>
        <w:t>28d</w:t>
      </w:r>
      <w:r>
        <w:rPr>
          <w:rFonts w:hint="eastAsia"/>
          <w:color w:val="auto"/>
          <w:highlight w:val="none"/>
        </w:rPr>
        <w:t>。常规蒸汽养护的试件在蒸汽养护后在标准条件下继续养护至</w:t>
      </w:r>
      <w:r>
        <w:rPr>
          <w:color w:val="auto"/>
          <w:highlight w:val="none"/>
        </w:rPr>
        <w:t>28d</w:t>
      </w:r>
      <w:r>
        <w:rPr>
          <w:rFonts w:hint="eastAsia"/>
          <w:color w:val="auto"/>
          <w:highlight w:val="none"/>
        </w:rPr>
        <w:t>。改善性能的高温热养护试件在高温热养护结束后在标准条件下继续养护至</w:t>
      </w:r>
      <w:r>
        <w:rPr>
          <w:color w:val="auto"/>
          <w:highlight w:val="none"/>
        </w:rPr>
        <w:t>7d</w:t>
      </w:r>
      <w:r>
        <w:rPr>
          <w:rFonts w:hint="eastAsia"/>
          <w:color w:val="auto"/>
          <w:highlight w:val="none"/>
        </w:rPr>
        <w:t>。</w:t>
      </w:r>
    </w:p>
    <w:p w14:paraId="35D8F023">
      <w:pPr>
        <w:kinsoku/>
        <w:overflowPunct/>
        <w:bidi w:val="0"/>
        <w:spacing w:before="156" w:beforeLines="50" w:line="360" w:lineRule="auto"/>
        <w:ind w:right="420"/>
        <w:rPr>
          <w:color w:val="auto"/>
          <w:highlight w:val="none"/>
        </w:rPr>
      </w:pPr>
      <w:r>
        <w:rPr>
          <w:color w:val="auto"/>
          <w:highlight w:val="none"/>
        </w:rPr>
        <w:t xml:space="preserve">6.13.5 </w:t>
      </w:r>
      <w:r>
        <w:rPr>
          <w:rFonts w:hint="eastAsia"/>
          <w:color w:val="auto"/>
          <w:highlight w:val="none"/>
        </w:rPr>
        <w:t>试验步骤</w:t>
      </w:r>
    </w:p>
    <w:p w14:paraId="2C27BA78">
      <w:pPr>
        <w:pStyle w:val="53"/>
        <w:kinsoku/>
        <w:overflowPunct/>
        <w:bidi w:val="0"/>
        <w:spacing w:line="360" w:lineRule="auto"/>
        <w:rPr>
          <w:bCs w:val="0"/>
          <w:color w:val="auto"/>
          <w:highlight w:val="none"/>
        </w:rPr>
      </w:pPr>
      <w:r>
        <w:rPr>
          <w:color w:val="auto"/>
          <w:highlight w:val="none"/>
        </w:rPr>
        <w:t xml:space="preserve">1 </w:t>
      </w:r>
      <w:r>
        <w:rPr>
          <w:rFonts w:hint="eastAsia"/>
          <w:color w:val="auto"/>
          <w:highlight w:val="none"/>
        </w:rPr>
        <w:t>将抗冲磨试件从标准养护室取出，擦除表面水分，对试样的质量和尺寸进行测量，其中前者的精度要求为±</w:t>
      </w:r>
      <w:r>
        <w:rPr>
          <w:color w:val="auto"/>
          <w:highlight w:val="none"/>
        </w:rPr>
        <w:t>0.01g</w:t>
      </w:r>
      <w:r>
        <w:rPr>
          <w:rFonts w:hint="eastAsia"/>
          <w:color w:val="auto"/>
          <w:highlight w:val="none"/>
        </w:rPr>
        <w:t>，后者的精度要求为±</w:t>
      </w:r>
      <w:r>
        <w:rPr>
          <w:color w:val="auto"/>
          <w:highlight w:val="none"/>
        </w:rPr>
        <w:t>0.1mm</w:t>
      </w:r>
      <w:r>
        <w:rPr>
          <w:rFonts w:hint="eastAsia"/>
          <w:color w:val="auto"/>
          <w:highlight w:val="none"/>
        </w:rPr>
        <w:t>，并计算得到试样的体积密度；</w:t>
      </w:r>
    </w:p>
    <w:p w14:paraId="4955F9D7">
      <w:pPr>
        <w:pStyle w:val="53"/>
        <w:kinsoku/>
        <w:overflowPunct/>
        <w:bidi w:val="0"/>
        <w:spacing w:line="360" w:lineRule="auto"/>
        <w:rPr>
          <w:bCs w:val="0"/>
          <w:color w:val="auto"/>
          <w:highlight w:val="none"/>
        </w:rPr>
      </w:pPr>
      <w:r>
        <w:rPr>
          <w:color w:val="auto"/>
          <w:highlight w:val="none"/>
        </w:rPr>
        <w:t xml:space="preserve">2 </w:t>
      </w:r>
      <w:r>
        <w:rPr>
          <w:rFonts w:hint="eastAsia"/>
          <w:color w:val="auto"/>
          <w:highlight w:val="none"/>
        </w:rPr>
        <w:t>将抗冲磨试件安置固定试验平台，通过导轨调整试验平台，使试件的冲磨面与喷嘴成</w:t>
      </w:r>
      <w:r>
        <w:rPr>
          <w:color w:val="auto"/>
          <w:highlight w:val="none"/>
        </w:rPr>
        <w:t>45</w:t>
      </w:r>
      <w:r>
        <w:rPr>
          <w:rFonts w:hint="eastAsia"/>
          <w:color w:val="auto"/>
          <w:highlight w:val="none"/>
        </w:rPr>
        <w:t>°±</w:t>
      </w:r>
      <w:r>
        <w:rPr>
          <w:color w:val="auto"/>
          <w:highlight w:val="none"/>
        </w:rPr>
        <w:t>0.5</w:t>
      </w:r>
      <w:r>
        <w:rPr>
          <w:rFonts w:hint="eastAsia"/>
          <w:color w:val="auto"/>
          <w:highlight w:val="none"/>
        </w:rPr>
        <w:t>°角，喷嘴与冲磨试件表面的喷嘴投影中心的距离为</w:t>
      </w:r>
      <w:r>
        <w:rPr>
          <w:color w:val="auto"/>
          <w:highlight w:val="none"/>
        </w:rPr>
        <w:t>62mm</w:t>
      </w:r>
      <w:r>
        <w:rPr>
          <w:rFonts w:hint="eastAsia"/>
          <w:color w:val="auto"/>
          <w:highlight w:val="none"/>
        </w:rPr>
        <w:t>±</w:t>
      </w:r>
      <w:r>
        <w:rPr>
          <w:color w:val="auto"/>
          <w:highlight w:val="none"/>
        </w:rPr>
        <w:t>2mm</w:t>
      </w:r>
      <w:r>
        <w:rPr>
          <w:rFonts w:hint="eastAsia"/>
          <w:color w:val="auto"/>
          <w:highlight w:val="none"/>
        </w:rPr>
        <w:t>；</w:t>
      </w:r>
    </w:p>
    <w:p w14:paraId="7EA56C82">
      <w:pPr>
        <w:pStyle w:val="53"/>
        <w:kinsoku/>
        <w:overflowPunct/>
        <w:bidi w:val="0"/>
        <w:spacing w:line="360" w:lineRule="auto"/>
        <w:rPr>
          <w:bCs w:val="0"/>
          <w:color w:val="auto"/>
          <w:highlight w:val="none"/>
        </w:rPr>
      </w:pPr>
      <w:r>
        <w:rPr>
          <w:color w:val="auto"/>
          <w:highlight w:val="none"/>
        </w:rPr>
        <w:t xml:space="preserve">3 </w:t>
      </w:r>
      <w:r>
        <w:rPr>
          <w:rFonts w:hint="eastAsia"/>
          <w:color w:val="auto"/>
          <w:highlight w:val="none"/>
        </w:rPr>
        <w:t>往水箱中注水淹没试件，至水位达到指定高度，开动抗冲磨试验机，冲磨</w:t>
      </w:r>
      <w:r>
        <w:rPr>
          <w:color w:val="auto"/>
          <w:highlight w:val="none"/>
        </w:rPr>
        <w:t>75min</w:t>
      </w:r>
      <w:r>
        <w:rPr>
          <w:rFonts w:hint="eastAsia"/>
          <w:color w:val="auto"/>
          <w:highlight w:val="none"/>
        </w:rPr>
        <w:t>±</w:t>
      </w:r>
      <w:r>
        <w:rPr>
          <w:color w:val="auto"/>
          <w:highlight w:val="none"/>
        </w:rPr>
        <w:t>1min</w:t>
      </w:r>
      <w:r>
        <w:rPr>
          <w:rFonts w:hint="eastAsia"/>
          <w:color w:val="auto"/>
          <w:highlight w:val="none"/>
        </w:rPr>
        <w:t>后，停机；</w:t>
      </w:r>
    </w:p>
    <w:p w14:paraId="69576769">
      <w:pPr>
        <w:pStyle w:val="53"/>
        <w:kinsoku/>
        <w:overflowPunct/>
        <w:bidi w:val="0"/>
        <w:spacing w:line="360" w:lineRule="auto"/>
        <w:rPr>
          <w:bCs w:val="0"/>
          <w:color w:val="auto"/>
          <w:highlight w:val="none"/>
        </w:rPr>
      </w:pPr>
      <w:r>
        <w:rPr>
          <w:color w:val="auto"/>
          <w:highlight w:val="none"/>
        </w:rPr>
        <w:t xml:space="preserve">4 </w:t>
      </w:r>
      <w:r>
        <w:rPr>
          <w:rFonts w:hint="eastAsia"/>
          <w:color w:val="auto"/>
          <w:highlight w:val="none"/>
        </w:rPr>
        <w:t>从试验平台上取下试样，擦除表面的水分，然后用电子秤对试样进行称量，并通过试样的体积密度数据，获得试样被冲磨后磨耗的体积；</w:t>
      </w:r>
    </w:p>
    <w:p w14:paraId="5FFB8E41">
      <w:pPr>
        <w:pStyle w:val="53"/>
        <w:kinsoku/>
        <w:overflowPunct/>
        <w:bidi w:val="0"/>
        <w:spacing w:line="360" w:lineRule="auto"/>
        <w:rPr>
          <w:color w:val="auto"/>
          <w:highlight w:val="none"/>
        </w:rPr>
      </w:pPr>
      <w:r>
        <w:rPr>
          <w:color w:val="auto"/>
          <w:highlight w:val="none"/>
        </w:rPr>
        <w:t xml:space="preserve">5 </w:t>
      </w:r>
      <w:r>
        <w:rPr>
          <w:rFonts w:hint="eastAsia"/>
          <w:color w:val="auto"/>
          <w:highlight w:val="none"/>
        </w:rPr>
        <w:t>当一组</w:t>
      </w:r>
      <w:r>
        <w:rPr>
          <w:color w:val="auto"/>
          <w:highlight w:val="none"/>
        </w:rPr>
        <w:t>3</w:t>
      </w:r>
      <w:r>
        <w:rPr>
          <w:rFonts w:hint="eastAsia"/>
          <w:color w:val="auto"/>
          <w:highlight w:val="none"/>
        </w:rPr>
        <w:t>个超高性能混凝土试件和</w:t>
      </w:r>
      <w:r>
        <w:rPr>
          <w:color w:val="auto"/>
          <w:highlight w:val="none"/>
        </w:rPr>
        <w:t>2</w:t>
      </w:r>
      <w:r>
        <w:rPr>
          <w:rFonts w:hint="eastAsia"/>
          <w:color w:val="auto"/>
          <w:highlight w:val="none"/>
        </w:rPr>
        <w:t>个对比玻璃试件单个测试时，应将对比的</w:t>
      </w:r>
      <w:r>
        <w:rPr>
          <w:color w:val="auto"/>
          <w:highlight w:val="none"/>
        </w:rPr>
        <w:t>2</w:t>
      </w:r>
      <w:r>
        <w:rPr>
          <w:rFonts w:hint="eastAsia"/>
          <w:color w:val="auto"/>
          <w:highlight w:val="none"/>
        </w:rPr>
        <w:t>个玻璃试件安排在首次和末次试验。</w:t>
      </w:r>
    </w:p>
    <w:p w14:paraId="776CBC7F">
      <w:pPr>
        <w:kinsoku/>
        <w:overflowPunct/>
        <w:bidi w:val="0"/>
        <w:spacing w:before="156" w:beforeLines="50" w:line="360" w:lineRule="auto"/>
        <w:ind w:right="420"/>
        <w:rPr>
          <w:color w:val="auto"/>
          <w:highlight w:val="none"/>
        </w:rPr>
      </w:pPr>
      <w:r>
        <w:rPr>
          <w:color w:val="auto"/>
          <w:highlight w:val="none"/>
        </w:rPr>
        <w:t xml:space="preserve">6.13.6 </w:t>
      </w:r>
      <w:r>
        <w:rPr>
          <w:rFonts w:hint="eastAsia"/>
          <w:color w:val="auto"/>
          <w:highlight w:val="none"/>
        </w:rPr>
        <w:t>试验结果计算与处理</w:t>
      </w:r>
    </w:p>
    <w:p w14:paraId="23E5A947">
      <w:pPr>
        <w:pStyle w:val="53"/>
        <w:kinsoku/>
        <w:overflowPunct/>
        <w:bidi w:val="0"/>
        <w:spacing w:line="360" w:lineRule="auto"/>
        <w:rPr>
          <w:color w:val="auto"/>
          <w:highlight w:val="none"/>
        </w:rPr>
      </w:pPr>
      <w:r>
        <w:rPr>
          <w:color w:val="auto"/>
          <w:highlight w:val="none"/>
        </w:rPr>
        <w:t xml:space="preserve">1 </w:t>
      </w:r>
      <w:r>
        <w:rPr>
          <w:rFonts w:hint="eastAsia"/>
          <w:color w:val="auto"/>
          <w:highlight w:val="none"/>
        </w:rPr>
        <w:t>超高性能混凝土的磨耗体积应按式（</w:t>
      </w:r>
      <w:r>
        <w:rPr>
          <w:color w:val="auto"/>
          <w:highlight w:val="none"/>
        </w:rPr>
        <w:t>6.13.6-1</w:t>
      </w:r>
      <w:r>
        <w:rPr>
          <w:rFonts w:hint="eastAsia"/>
          <w:color w:val="auto"/>
          <w:highlight w:val="none"/>
        </w:rPr>
        <w:t>）计算：</w:t>
      </w:r>
    </w:p>
    <w:p w14:paraId="1AF62765">
      <w:pPr>
        <w:pStyle w:val="53"/>
        <w:kinsoku/>
        <w:overflowPunct/>
        <w:bidi w:val="0"/>
        <w:spacing w:line="360" w:lineRule="auto"/>
        <w:jc w:val="right"/>
        <w:rPr>
          <w:color w:val="auto"/>
          <w:highlight w:val="none"/>
        </w:rPr>
      </w:pPr>
      <w:r>
        <w:rPr>
          <w:color w:val="auto"/>
          <w:position w:val="-24"/>
          <w:highlight w:val="none"/>
        </w:rPr>
        <w:object>
          <v:shape id="_x0000_i1077" o:spt="75" type="#_x0000_t75" style="height:47.85pt;width:58.4pt;" o:ole="t" filled="f" o:preferrelative="t" stroked="f" coordsize="21600,21600">
            <v:path/>
            <v:fill on="f" focussize="0,0"/>
            <v:stroke on="f" joinstyle="miter"/>
            <v:imagedata r:id="rId143" o:title=""/>
            <o:lock v:ext="edit" aspectratio="t"/>
            <w10:wrap type="none"/>
            <w10:anchorlock/>
          </v:shape>
          <o:OLEObject Type="Embed" ProgID="Equation.DSMT4" ShapeID="_x0000_i1077" DrawAspect="Content" ObjectID="_1468075777" r:id="rId142">
            <o:LockedField>false</o:LockedField>
          </o:OLEObject>
        </w:object>
      </w:r>
      <w:r>
        <w:rPr>
          <w:color w:val="auto"/>
          <w:highlight w:val="none"/>
        </w:rPr>
        <w:t xml:space="preserve">                             </w:t>
      </w:r>
      <w:r>
        <w:rPr>
          <w:rFonts w:hint="eastAsia"/>
          <w:color w:val="auto"/>
          <w:highlight w:val="none"/>
        </w:rPr>
        <w:t>（</w:t>
      </w:r>
      <w:r>
        <w:rPr>
          <w:color w:val="auto"/>
          <w:highlight w:val="none"/>
        </w:rPr>
        <w:t>6.13.6-1</w:t>
      </w:r>
      <w:r>
        <w:rPr>
          <w:rFonts w:hint="eastAsia"/>
          <w:color w:val="auto"/>
          <w:highlight w:val="none"/>
        </w:rPr>
        <w:t>）</w:t>
      </w:r>
    </w:p>
    <w:p w14:paraId="3039589A">
      <w:pPr>
        <w:kinsoku/>
        <w:overflowPunct/>
        <w:bidi w:val="0"/>
        <w:spacing w:before="156" w:beforeLines="50" w:line="360" w:lineRule="auto"/>
        <w:ind w:right="420"/>
        <w:jc w:val="left"/>
        <w:rPr>
          <w:bCs/>
          <w:color w:val="auto"/>
          <w:highlight w:val="none"/>
        </w:rPr>
      </w:pPr>
      <w:r>
        <w:rPr>
          <w:rFonts w:hint="eastAsia"/>
          <w:bCs/>
          <w:color w:val="auto"/>
          <w:highlight w:val="none"/>
        </w:rPr>
        <w:t>式中：</w:t>
      </w:r>
      <w:r>
        <w:rPr>
          <w:bCs/>
          <w:i/>
          <w:iCs/>
          <w:color w:val="auto"/>
          <w:highlight w:val="none"/>
        </w:rPr>
        <w:t>V</w:t>
      </w:r>
      <w:r>
        <w:rPr>
          <w:bCs/>
          <w:i/>
          <w:iCs/>
          <w:color w:val="auto"/>
          <w:highlight w:val="none"/>
          <w:vertAlign w:val="subscript"/>
        </w:rPr>
        <w:t>U</w:t>
      </w:r>
      <w:r>
        <w:rPr>
          <w:rFonts w:hint="eastAsia"/>
          <w:bCs/>
          <w:color w:val="auto"/>
          <w:highlight w:val="none"/>
        </w:rPr>
        <w:t>——超高性能混凝土的磨耗体积平均值（</w:t>
      </w:r>
      <w:r>
        <w:rPr>
          <w:bCs/>
          <w:color w:val="auto"/>
          <w:highlight w:val="none"/>
        </w:rPr>
        <w:t>mm</w:t>
      </w:r>
      <w:r>
        <w:rPr>
          <w:bCs/>
          <w:color w:val="auto"/>
          <w:highlight w:val="none"/>
          <w:vertAlign w:val="superscript"/>
        </w:rPr>
        <w:t>3</w:t>
      </w:r>
      <w:r>
        <w:rPr>
          <w:rFonts w:hint="eastAsia"/>
          <w:bCs/>
          <w:color w:val="auto"/>
          <w:highlight w:val="none"/>
        </w:rPr>
        <w:t>），精确至</w:t>
      </w:r>
      <w:r>
        <w:rPr>
          <w:bCs/>
          <w:color w:val="auto"/>
          <w:highlight w:val="none"/>
        </w:rPr>
        <w:t>1mm</w:t>
      </w:r>
      <w:r>
        <w:rPr>
          <w:bCs/>
          <w:color w:val="auto"/>
          <w:highlight w:val="none"/>
          <w:vertAlign w:val="superscript"/>
        </w:rPr>
        <w:t>3</w:t>
      </w:r>
      <w:r>
        <w:rPr>
          <w:rFonts w:hint="eastAsia"/>
          <w:bCs/>
          <w:color w:val="auto"/>
          <w:highlight w:val="none"/>
        </w:rPr>
        <w:t>；</w:t>
      </w:r>
    </w:p>
    <w:p w14:paraId="2EA51860">
      <w:pPr>
        <w:kinsoku/>
        <w:overflowPunct/>
        <w:bidi w:val="0"/>
        <w:spacing w:before="156" w:beforeLines="50" w:line="360" w:lineRule="auto"/>
        <w:ind w:right="420" w:firstLine="630" w:firstLineChars="300"/>
        <w:rPr>
          <w:bCs/>
          <w:color w:val="auto"/>
          <w:highlight w:val="none"/>
        </w:rPr>
      </w:pPr>
      <w:r>
        <w:rPr>
          <w:i/>
          <w:iCs/>
          <w:color w:val="auto"/>
          <w:kern w:val="0"/>
          <w:szCs w:val="20"/>
          <w:highlight w:val="none"/>
        </w:rPr>
        <w:t>V</w:t>
      </w:r>
      <w:r>
        <w:rPr>
          <w:i/>
          <w:iCs/>
          <w:color w:val="auto"/>
          <w:kern w:val="0"/>
          <w:szCs w:val="20"/>
          <w:highlight w:val="none"/>
          <w:vertAlign w:val="subscript"/>
        </w:rPr>
        <w:t>Ui</w:t>
      </w:r>
      <w:r>
        <w:rPr>
          <w:rFonts w:hint="eastAsia"/>
          <w:color w:val="auto"/>
          <w:kern w:val="0"/>
          <w:szCs w:val="20"/>
          <w:highlight w:val="none"/>
        </w:rPr>
        <w:t>——超高性能混凝土单个试件的磨耗体积（</w:t>
      </w:r>
      <w:r>
        <w:rPr>
          <w:color w:val="auto"/>
          <w:kern w:val="0"/>
          <w:szCs w:val="20"/>
          <w:highlight w:val="none"/>
        </w:rPr>
        <w:t>mm</w:t>
      </w:r>
      <w:r>
        <w:rPr>
          <w:color w:val="auto"/>
          <w:kern w:val="0"/>
          <w:szCs w:val="20"/>
          <w:highlight w:val="none"/>
          <w:vertAlign w:val="superscript"/>
        </w:rPr>
        <w:t>3</w:t>
      </w:r>
      <w:r>
        <w:rPr>
          <w:rFonts w:hint="eastAsia"/>
          <w:color w:val="auto"/>
          <w:kern w:val="0"/>
          <w:szCs w:val="20"/>
          <w:highlight w:val="none"/>
        </w:rPr>
        <w:t>），精确至</w:t>
      </w:r>
      <w:r>
        <w:rPr>
          <w:color w:val="auto"/>
          <w:kern w:val="0"/>
          <w:szCs w:val="20"/>
          <w:highlight w:val="none"/>
        </w:rPr>
        <w:t>1mm</w:t>
      </w:r>
      <w:r>
        <w:rPr>
          <w:color w:val="auto"/>
          <w:kern w:val="0"/>
          <w:szCs w:val="20"/>
          <w:highlight w:val="none"/>
          <w:vertAlign w:val="superscript"/>
        </w:rPr>
        <w:t>3</w:t>
      </w:r>
      <w:r>
        <w:rPr>
          <w:rFonts w:hint="eastAsia"/>
          <w:color w:val="auto"/>
          <w:kern w:val="0"/>
          <w:szCs w:val="20"/>
          <w:highlight w:val="none"/>
        </w:rPr>
        <w:t>；若最大值或最小值与中间值之差超过中间值的</w:t>
      </w:r>
      <w:r>
        <w:rPr>
          <w:color w:val="auto"/>
          <w:kern w:val="0"/>
          <w:szCs w:val="20"/>
          <w:highlight w:val="none"/>
        </w:rPr>
        <w:t>10%</w:t>
      </w:r>
      <w:r>
        <w:rPr>
          <w:rFonts w:hint="eastAsia"/>
          <w:color w:val="auto"/>
          <w:kern w:val="0"/>
          <w:szCs w:val="20"/>
          <w:highlight w:val="none"/>
        </w:rPr>
        <w:t>，应取中间值作为测定值；若最大值和最小值均超过中间值的</w:t>
      </w:r>
      <w:r>
        <w:rPr>
          <w:color w:val="auto"/>
          <w:kern w:val="0"/>
          <w:szCs w:val="20"/>
          <w:highlight w:val="none"/>
        </w:rPr>
        <w:t>10%</w:t>
      </w:r>
      <w:r>
        <w:rPr>
          <w:rFonts w:hint="eastAsia"/>
          <w:color w:val="auto"/>
          <w:kern w:val="0"/>
          <w:szCs w:val="20"/>
          <w:highlight w:val="none"/>
        </w:rPr>
        <w:t>，应重新制样进行试验。</w:t>
      </w:r>
    </w:p>
    <w:p w14:paraId="5B2F797B">
      <w:pPr>
        <w:pStyle w:val="53"/>
        <w:kinsoku/>
        <w:overflowPunct/>
        <w:bidi w:val="0"/>
        <w:spacing w:line="360" w:lineRule="auto"/>
        <w:rPr>
          <w:color w:val="auto"/>
          <w:highlight w:val="none"/>
        </w:rPr>
      </w:pPr>
      <w:r>
        <w:rPr>
          <w:rFonts w:hint="eastAsia"/>
          <w:color w:val="auto"/>
          <w:highlight w:val="none"/>
        </w:rPr>
        <w:t>2 对比玻璃的磨耗体积应按式（</w:t>
      </w:r>
      <w:r>
        <w:rPr>
          <w:color w:val="auto"/>
          <w:highlight w:val="none"/>
        </w:rPr>
        <w:t>6.13.6</w:t>
      </w:r>
      <w:r>
        <w:rPr>
          <w:rFonts w:hint="eastAsia"/>
          <w:color w:val="auto"/>
          <w:highlight w:val="none"/>
        </w:rPr>
        <w:t>-2）计算：</w:t>
      </w:r>
    </w:p>
    <w:p w14:paraId="33842323">
      <w:pPr>
        <w:kinsoku/>
        <w:overflowPunct/>
        <w:bidi w:val="0"/>
        <w:spacing w:line="360" w:lineRule="auto"/>
        <w:jc w:val="right"/>
        <w:rPr>
          <w:rFonts w:hint="eastAsia" w:ascii="宋体" w:hAnsi="宋体" w:cs="宋体"/>
          <w:color w:val="auto"/>
          <w:szCs w:val="21"/>
          <w:highlight w:val="none"/>
        </w:rPr>
      </w:pPr>
      <w:r>
        <w:rPr>
          <w:bCs/>
          <w:color w:val="auto"/>
          <w:position w:val="-24"/>
          <w:highlight w:val="none"/>
        </w:rPr>
        <w:object>
          <v:shape id="_x0000_i1078" o:spt="75" type="#_x0000_t75" style="height:47.85pt;width:58pt;" o:ole="t" filled="f" o:preferrelative="t" stroked="f" coordsize="21600,21600">
            <v:path/>
            <v:fill on="f" focussize="0,0"/>
            <v:stroke on="f" joinstyle="miter"/>
            <v:imagedata r:id="rId145" o:title=""/>
            <o:lock v:ext="edit" aspectratio="t"/>
            <w10:wrap type="none"/>
            <w10:anchorlock/>
          </v:shape>
          <o:OLEObject Type="Embed" ProgID="Equation.DSMT4" ShapeID="_x0000_i1078" DrawAspect="Content" ObjectID="_1468075778" r:id="rId144">
            <o:LockedField>false</o:LockedField>
          </o:OLEObject>
        </w:object>
      </w:r>
      <w:r>
        <w:rPr>
          <w:bCs/>
          <w:color w:val="auto"/>
          <w:highlight w:val="none"/>
        </w:rPr>
        <w:t xml:space="preserve">                             </w:t>
      </w:r>
      <w:r>
        <w:rPr>
          <w:rFonts w:hint="eastAsia"/>
          <w:bCs/>
          <w:color w:val="auto"/>
          <w:highlight w:val="none"/>
        </w:rPr>
        <w:t>（</w:t>
      </w:r>
      <w:r>
        <w:rPr>
          <w:bCs/>
          <w:color w:val="auto"/>
          <w:highlight w:val="none"/>
        </w:rPr>
        <w:t>6.13.6-2</w:t>
      </w:r>
      <w:r>
        <w:rPr>
          <w:rFonts w:hint="eastAsia"/>
          <w:bCs/>
          <w:color w:val="auto"/>
          <w:highlight w:val="none"/>
        </w:rPr>
        <w:t>）</w:t>
      </w:r>
    </w:p>
    <w:p w14:paraId="4AF16CDA">
      <w:pPr>
        <w:kinsoku/>
        <w:overflowPunct/>
        <w:bidi w:val="0"/>
        <w:spacing w:before="156" w:beforeLines="50" w:line="360" w:lineRule="auto"/>
        <w:ind w:right="420"/>
        <w:jc w:val="left"/>
        <w:rPr>
          <w:bCs/>
          <w:color w:val="auto"/>
          <w:highlight w:val="none"/>
        </w:rPr>
      </w:pPr>
      <w:r>
        <w:rPr>
          <w:rFonts w:hint="eastAsia"/>
          <w:bCs/>
          <w:color w:val="auto"/>
          <w:highlight w:val="none"/>
        </w:rPr>
        <w:t>式中：</w:t>
      </w:r>
      <w:r>
        <w:rPr>
          <w:rFonts w:hint="eastAsia"/>
          <w:bCs/>
          <w:i/>
          <w:iCs/>
          <w:color w:val="auto"/>
          <w:highlight w:val="none"/>
        </w:rPr>
        <w:t>V</w:t>
      </w:r>
      <w:r>
        <w:rPr>
          <w:rFonts w:hint="eastAsia"/>
          <w:bCs/>
          <w:i/>
          <w:iCs/>
          <w:color w:val="auto"/>
          <w:highlight w:val="none"/>
          <w:vertAlign w:val="subscript"/>
        </w:rPr>
        <w:t>G</w:t>
      </w:r>
      <w:r>
        <w:rPr>
          <w:rFonts w:hint="eastAsia"/>
          <w:bCs/>
          <w:color w:val="auto"/>
          <w:highlight w:val="none"/>
        </w:rPr>
        <w:t>——对比玻璃的磨耗体积平均值（mm</w:t>
      </w:r>
      <w:r>
        <w:rPr>
          <w:rFonts w:hint="eastAsia"/>
          <w:bCs/>
          <w:color w:val="auto"/>
          <w:highlight w:val="none"/>
          <w:vertAlign w:val="superscript"/>
        </w:rPr>
        <w:t>3</w:t>
      </w:r>
      <w:r>
        <w:rPr>
          <w:rFonts w:hint="eastAsia"/>
          <w:bCs/>
          <w:color w:val="auto"/>
          <w:highlight w:val="none"/>
        </w:rPr>
        <w:t>），精确至1mm</w:t>
      </w:r>
      <w:r>
        <w:rPr>
          <w:rFonts w:hint="eastAsia"/>
          <w:bCs/>
          <w:color w:val="auto"/>
          <w:highlight w:val="none"/>
          <w:vertAlign w:val="superscript"/>
        </w:rPr>
        <w:t>3</w:t>
      </w:r>
      <w:r>
        <w:rPr>
          <w:rFonts w:hint="eastAsia"/>
          <w:bCs/>
          <w:color w:val="auto"/>
          <w:highlight w:val="none"/>
        </w:rPr>
        <w:t>；</w:t>
      </w:r>
    </w:p>
    <w:p w14:paraId="1DC2B2DC">
      <w:pPr>
        <w:kinsoku/>
        <w:overflowPunct/>
        <w:bidi w:val="0"/>
        <w:spacing w:before="156" w:beforeLines="50" w:line="360" w:lineRule="auto"/>
        <w:ind w:right="420" w:firstLine="525" w:firstLineChars="250"/>
        <w:jc w:val="left"/>
        <w:rPr>
          <w:bCs/>
          <w:color w:val="auto"/>
          <w:highlight w:val="none"/>
        </w:rPr>
      </w:pPr>
      <w:r>
        <w:rPr>
          <w:rFonts w:hint="eastAsia"/>
          <w:bCs/>
          <w:i/>
          <w:iCs/>
          <w:color w:val="auto"/>
          <w:highlight w:val="none"/>
        </w:rPr>
        <w:t>V</w:t>
      </w:r>
      <w:r>
        <w:rPr>
          <w:rFonts w:hint="eastAsia"/>
          <w:bCs/>
          <w:i/>
          <w:iCs/>
          <w:color w:val="auto"/>
          <w:highlight w:val="none"/>
          <w:vertAlign w:val="subscript"/>
        </w:rPr>
        <w:t>Gi</w:t>
      </w:r>
      <w:r>
        <w:rPr>
          <w:rFonts w:hint="eastAsia"/>
          <w:bCs/>
          <w:color w:val="auto"/>
          <w:highlight w:val="none"/>
        </w:rPr>
        <w:t>——对比玻璃单个试件的磨耗体积（mm</w:t>
      </w:r>
      <w:r>
        <w:rPr>
          <w:rFonts w:hint="eastAsia"/>
          <w:bCs/>
          <w:color w:val="auto"/>
          <w:highlight w:val="none"/>
          <w:vertAlign w:val="superscript"/>
        </w:rPr>
        <w:t>3</w:t>
      </w:r>
      <w:r>
        <w:rPr>
          <w:rFonts w:hint="eastAsia"/>
          <w:bCs/>
          <w:color w:val="auto"/>
          <w:highlight w:val="none"/>
        </w:rPr>
        <w:t>），精确至1mm</w:t>
      </w:r>
      <w:r>
        <w:rPr>
          <w:rFonts w:hint="eastAsia"/>
          <w:bCs/>
          <w:color w:val="auto"/>
          <w:highlight w:val="none"/>
          <w:vertAlign w:val="superscript"/>
        </w:rPr>
        <w:t>3</w:t>
      </w:r>
      <w:r>
        <w:rPr>
          <w:rFonts w:hint="eastAsia"/>
          <w:bCs/>
          <w:color w:val="auto"/>
          <w:highlight w:val="none"/>
        </w:rPr>
        <w:t>；最大值和最小值与平均值之差超过平均值的20%时，应重新制样进行试验。</w:t>
      </w:r>
    </w:p>
    <w:p w14:paraId="6B3C3133">
      <w:pPr>
        <w:pStyle w:val="53"/>
        <w:kinsoku/>
        <w:overflowPunct/>
        <w:bidi w:val="0"/>
        <w:spacing w:line="360" w:lineRule="auto"/>
        <w:rPr>
          <w:color w:val="auto"/>
          <w:highlight w:val="none"/>
        </w:rPr>
      </w:pPr>
      <w:r>
        <w:rPr>
          <w:color w:val="auto"/>
          <w:highlight w:val="none"/>
        </w:rPr>
        <w:t xml:space="preserve">3 </w:t>
      </w:r>
      <w:r>
        <w:rPr>
          <w:rFonts w:hint="eastAsia"/>
          <w:color w:val="auto"/>
          <w:highlight w:val="none"/>
        </w:rPr>
        <w:t>超高性能混凝土的抗冲磨指数应按式（</w:t>
      </w:r>
      <w:r>
        <w:rPr>
          <w:bCs w:val="0"/>
          <w:color w:val="auto"/>
          <w:highlight w:val="none"/>
        </w:rPr>
        <w:t>6.13.6</w:t>
      </w:r>
      <w:r>
        <w:rPr>
          <w:color w:val="auto"/>
          <w:highlight w:val="none"/>
        </w:rPr>
        <w:t>-3</w:t>
      </w:r>
      <w:r>
        <w:rPr>
          <w:rFonts w:hint="eastAsia"/>
          <w:color w:val="auto"/>
          <w:highlight w:val="none"/>
        </w:rPr>
        <w:t>）计算：</w:t>
      </w:r>
    </w:p>
    <w:p w14:paraId="5D9290C9">
      <w:pPr>
        <w:kinsoku/>
        <w:overflowPunct/>
        <w:bidi w:val="0"/>
        <w:spacing w:line="360" w:lineRule="auto"/>
        <w:jc w:val="right"/>
        <w:rPr>
          <w:rFonts w:eastAsia="黑体"/>
          <w:color w:val="auto"/>
          <w:kern w:val="0"/>
          <w:szCs w:val="20"/>
          <w:highlight w:val="none"/>
        </w:rPr>
      </w:pPr>
      <w:r>
        <w:rPr>
          <w:bCs/>
          <w:color w:val="auto"/>
          <w:position w:val="-30"/>
          <w:highlight w:val="none"/>
        </w:rPr>
        <w:object>
          <v:shape id="_x0000_i1079" o:spt="75" type="#_x0000_t75" style="height:34.25pt;width:36.2pt;" o:ole="t" filled="f" o:preferrelative="t" stroked="f" coordsize="21600,21600">
            <v:path/>
            <v:fill on="f" focussize="0,0"/>
            <v:stroke on="f" joinstyle="miter"/>
            <v:imagedata r:id="rId147" o:title=""/>
            <o:lock v:ext="edit" aspectratio="t"/>
            <w10:wrap type="none"/>
            <w10:anchorlock/>
          </v:shape>
          <o:OLEObject Type="Embed" ProgID="Equation.DSMT4" ShapeID="_x0000_i1079" DrawAspect="Content" ObjectID="_1468075779" r:id="rId146">
            <o:LockedField>false</o:LockedField>
          </o:OLEObject>
        </w:object>
      </w:r>
      <w:r>
        <w:rPr>
          <w:bCs/>
          <w:color w:val="auto"/>
          <w:highlight w:val="none"/>
        </w:rPr>
        <w:t xml:space="preserve">                              </w:t>
      </w:r>
      <w:r>
        <w:rPr>
          <w:rFonts w:hint="eastAsia"/>
          <w:bCs/>
          <w:color w:val="auto"/>
          <w:highlight w:val="none"/>
        </w:rPr>
        <w:t>（</w:t>
      </w:r>
      <w:r>
        <w:rPr>
          <w:bCs/>
          <w:color w:val="auto"/>
          <w:highlight w:val="none"/>
        </w:rPr>
        <w:t>6.13.6-3</w:t>
      </w:r>
      <w:r>
        <w:rPr>
          <w:rFonts w:hint="eastAsia"/>
          <w:bCs/>
          <w:color w:val="auto"/>
          <w:highlight w:val="none"/>
        </w:rPr>
        <w:t>）</w:t>
      </w:r>
    </w:p>
    <w:p w14:paraId="16D97A70">
      <w:pPr>
        <w:kinsoku/>
        <w:overflowPunct/>
        <w:bidi w:val="0"/>
        <w:spacing w:before="156" w:beforeLines="50" w:line="360" w:lineRule="auto"/>
        <w:ind w:right="420"/>
        <w:jc w:val="left"/>
        <w:rPr>
          <w:bCs/>
          <w:color w:val="auto"/>
          <w:highlight w:val="none"/>
        </w:rPr>
      </w:pPr>
      <w:r>
        <w:rPr>
          <w:rFonts w:hint="eastAsia"/>
          <w:bCs/>
          <w:color w:val="auto"/>
          <w:highlight w:val="none"/>
        </w:rPr>
        <w:t>式中：</w:t>
      </w:r>
      <w:r>
        <w:rPr>
          <w:bCs/>
          <w:i/>
          <w:iCs/>
          <w:color w:val="auto"/>
          <w:highlight w:val="none"/>
        </w:rPr>
        <w:t>I</w:t>
      </w:r>
      <w:r>
        <w:rPr>
          <w:rFonts w:hint="eastAsia"/>
          <w:bCs/>
          <w:color w:val="auto"/>
          <w:highlight w:val="none"/>
        </w:rPr>
        <w:t>——超高性能混凝土的抗冲磨指数，精确至</w:t>
      </w:r>
      <w:r>
        <w:rPr>
          <w:bCs/>
          <w:color w:val="auto"/>
          <w:highlight w:val="none"/>
        </w:rPr>
        <w:t>0.1</w:t>
      </w:r>
      <w:r>
        <w:rPr>
          <w:rFonts w:hint="eastAsia"/>
          <w:bCs/>
          <w:color w:val="auto"/>
          <w:highlight w:val="none"/>
        </w:rPr>
        <w:t>；</w:t>
      </w:r>
    </w:p>
    <w:p w14:paraId="303AC579">
      <w:pPr>
        <w:kinsoku/>
        <w:overflowPunct/>
        <w:bidi w:val="0"/>
        <w:spacing w:before="156" w:beforeLines="50" w:line="360" w:lineRule="auto"/>
        <w:ind w:right="420" w:firstLine="525" w:firstLineChars="250"/>
        <w:jc w:val="left"/>
        <w:rPr>
          <w:bCs/>
          <w:color w:val="auto"/>
          <w:highlight w:val="none"/>
        </w:rPr>
      </w:pPr>
      <w:r>
        <w:rPr>
          <w:bCs/>
          <w:i/>
          <w:iCs/>
          <w:color w:val="auto"/>
          <w:highlight w:val="none"/>
        </w:rPr>
        <w:t>V</w:t>
      </w:r>
      <w:r>
        <w:rPr>
          <w:bCs/>
          <w:i/>
          <w:iCs/>
          <w:color w:val="auto"/>
          <w:highlight w:val="none"/>
          <w:vertAlign w:val="subscript"/>
        </w:rPr>
        <w:t>U</w:t>
      </w:r>
      <w:r>
        <w:rPr>
          <w:rFonts w:hint="eastAsia"/>
          <w:bCs/>
          <w:color w:val="auto"/>
          <w:highlight w:val="none"/>
        </w:rPr>
        <w:t>——超高性能混凝土的磨耗体积平均值（</w:t>
      </w:r>
      <w:r>
        <w:rPr>
          <w:bCs/>
          <w:color w:val="auto"/>
          <w:highlight w:val="none"/>
        </w:rPr>
        <w:t>mm</w:t>
      </w:r>
      <w:r>
        <w:rPr>
          <w:bCs/>
          <w:color w:val="auto"/>
          <w:highlight w:val="none"/>
          <w:vertAlign w:val="superscript"/>
        </w:rPr>
        <w:t>3</w:t>
      </w:r>
      <w:r>
        <w:rPr>
          <w:rFonts w:hint="eastAsia"/>
          <w:bCs/>
          <w:color w:val="auto"/>
          <w:highlight w:val="none"/>
        </w:rPr>
        <w:t>），精确至</w:t>
      </w:r>
      <w:r>
        <w:rPr>
          <w:bCs/>
          <w:color w:val="auto"/>
          <w:highlight w:val="none"/>
        </w:rPr>
        <w:t>1mm</w:t>
      </w:r>
      <w:r>
        <w:rPr>
          <w:bCs/>
          <w:color w:val="auto"/>
          <w:highlight w:val="none"/>
          <w:vertAlign w:val="superscript"/>
        </w:rPr>
        <w:t>3</w:t>
      </w:r>
      <w:r>
        <w:rPr>
          <w:rFonts w:hint="eastAsia"/>
          <w:bCs/>
          <w:color w:val="auto"/>
          <w:highlight w:val="none"/>
        </w:rPr>
        <w:t>；</w:t>
      </w:r>
    </w:p>
    <w:p w14:paraId="490EF41A">
      <w:pPr>
        <w:kinsoku/>
        <w:overflowPunct/>
        <w:bidi w:val="0"/>
        <w:spacing w:line="360" w:lineRule="auto"/>
        <w:ind w:right="420" w:firstLine="525" w:firstLineChars="250"/>
        <w:jc w:val="left"/>
        <w:rPr>
          <w:bCs/>
          <w:color w:val="auto"/>
          <w:highlight w:val="none"/>
        </w:rPr>
      </w:pPr>
      <w:r>
        <w:rPr>
          <w:bCs/>
          <w:i/>
          <w:iCs/>
          <w:color w:val="auto"/>
          <w:highlight w:val="none"/>
        </w:rPr>
        <w:t>V</w:t>
      </w:r>
      <w:r>
        <w:rPr>
          <w:bCs/>
          <w:i/>
          <w:iCs/>
          <w:color w:val="auto"/>
          <w:highlight w:val="none"/>
          <w:vertAlign w:val="subscript"/>
        </w:rPr>
        <w:t>G</w:t>
      </w:r>
      <w:r>
        <w:rPr>
          <w:rFonts w:hint="eastAsia"/>
          <w:bCs/>
          <w:color w:val="auto"/>
          <w:highlight w:val="none"/>
        </w:rPr>
        <w:t>——对比玻璃的磨耗体积平均值（</w:t>
      </w:r>
      <w:r>
        <w:rPr>
          <w:bCs/>
          <w:color w:val="auto"/>
          <w:highlight w:val="none"/>
        </w:rPr>
        <w:t>mm</w:t>
      </w:r>
      <w:r>
        <w:rPr>
          <w:bCs/>
          <w:color w:val="auto"/>
          <w:highlight w:val="none"/>
          <w:vertAlign w:val="superscript"/>
        </w:rPr>
        <w:t>3</w:t>
      </w:r>
      <w:r>
        <w:rPr>
          <w:rFonts w:hint="eastAsia"/>
          <w:bCs/>
          <w:color w:val="auto"/>
          <w:highlight w:val="none"/>
        </w:rPr>
        <w:t>），精确至</w:t>
      </w:r>
      <w:r>
        <w:rPr>
          <w:bCs/>
          <w:color w:val="auto"/>
          <w:highlight w:val="none"/>
        </w:rPr>
        <w:t>1mm</w:t>
      </w:r>
      <w:r>
        <w:rPr>
          <w:bCs/>
          <w:color w:val="auto"/>
          <w:highlight w:val="none"/>
          <w:vertAlign w:val="superscript"/>
        </w:rPr>
        <w:t>3</w:t>
      </w:r>
      <w:r>
        <w:rPr>
          <w:rFonts w:hint="eastAsia"/>
          <w:bCs/>
          <w:color w:val="auto"/>
          <w:highlight w:val="none"/>
        </w:rPr>
        <w:t>。</w:t>
      </w:r>
    </w:p>
    <w:p w14:paraId="01640B17">
      <w:pPr>
        <w:kinsoku/>
        <w:overflowPunct/>
        <w:bidi w:val="0"/>
        <w:spacing w:before="156" w:beforeLines="50" w:line="360" w:lineRule="auto"/>
        <w:ind w:right="420" w:firstLine="420" w:firstLineChars="200"/>
        <w:jc w:val="left"/>
        <w:rPr>
          <w:bCs/>
          <w:color w:val="auto"/>
          <w:highlight w:val="none"/>
        </w:rPr>
      </w:pPr>
    </w:p>
    <w:p w14:paraId="760A1BC3">
      <w:pPr>
        <w:pStyle w:val="65"/>
        <w:kinsoku/>
        <w:overflowPunct/>
        <w:bidi w:val="0"/>
        <w:spacing w:before="156" w:beforeLines="50" w:after="156" w:afterLines="50" w:line="360" w:lineRule="auto"/>
        <w:outlineLvl w:val="1"/>
        <w:rPr>
          <w:color w:val="auto"/>
          <w:highlight w:val="none"/>
        </w:rPr>
      </w:pPr>
      <w:bookmarkStart w:id="100" w:name="_Toc13482"/>
      <w:r>
        <w:rPr>
          <w:rFonts w:hint="eastAsia"/>
          <w:color w:val="auto"/>
          <w:highlight w:val="none"/>
        </w:rPr>
        <w:t>6.14 动态压缩试验</w:t>
      </w:r>
      <w:bookmarkEnd w:id="100"/>
    </w:p>
    <w:p w14:paraId="26AFBBA5">
      <w:pPr>
        <w:kinsoku/>
        <w:overflowPunct/>
        <w:bidi w:val="0"/>
        <w:spacing w:before="156" w:beforeLines="50" w:line="360" w:lineRule="auto"/>
        <w:ind w:right="420"/>
        <w:rPr>
          <w:color w:val="auto"/>
          <w:highlight w:val="none"/>
        </w:rPr>
      </w:pPr>
      <w:r>
        <w:rPr>
          <w:color w:val="auto"/>
          <w:highlight w:val="none"/>
        </w:rPr>
        <w:t xml:space="preserve">6.14.1 </w:t>
      </w:r>
      <w:r>
        <w:rPr>
          <w:rFonts w:hint="eastAsia"/>
          <w:color w:val="auto"/>
          <w:highlight w:val="none"/>
        </w:rPr>
        <w:t>本方法适用于测定室温下超高性能混凝土在</w:t>
      </w:r>
      <w:r>
        <w:rPr>
          <w:color w:val="auto"/>
          <w:highlight w:val="none"/>
        </w:rPr>
        <w:t>10</w:t>
      </w:r>
      <w:r>
        <w:rPr>
          <w:color w:val="auto"/>
          <w:highlight w:val="none"/>
          <w:vertAlign w:val="superscript"/>
        </w:rPr>
        <w:t>0</w:t>
      </w:r>
      <w:r>
        <w:rPr>
          <w:rFonts w:hint="eastAsia"/>
          <w:color w:val="auto"/>
          <w:highlight w:val="none"/>
        </w:rPr>
        <w:t>～</w:t>
      </w:r>
      <w:r>
        <w:rPr>
          <w:color w:val="auto"/>
          <w:highlight w:val="none"/>
        </w:rPr>
        <w:t>10</w:t>
      </w:r>
      <w:r>
        <w:rPr>
          <w:color w:val="auto"/>
          <w:highlight w:val="none"/>
          <w:vertAlign w:val="superscript"/>
        </w:rPr>
        <w:t>4</w:t>
      </w:r>
      <w:r>
        <w:rPr>
          <w:color w:val="auto"/>
          <w:highlight w:val="none"/>
        </w:rPr>
        <w:t>s</w:t>
      </w:r>
      <w:r>
        <w:rPr>
          <w:color w:val="auto"/>
          <w:highlight w:val="none"/>
          <w:vertAlign w:val="superscript"/>
        </w:rPr>
        <w:t>-1</w:t>
      </w:r>
      <w:r>
        <w:rPr>
          <w:rFonts w:hint="eastAsia"/>
          <w:color w:val="auto"/>
          <w:highlight w:val="none"/>
        </w:rPr>
        <w:t>应变速率范围内压缩应力—应变曲线、</w:t>
      </w:r>
      <w:r>
        <w:rPr>
          <w:rFonts w:hint="eastAsia"/>
          <w:color w:val="auto"/>
          <w:highlight w:val="none"/>
          <w:lang w:val="nb-NO"/>
        </w:rPr>
        <w:t>动态抗压强度</w:t>
      </w:r>
      <w:r>
        <w:rPr>
          <w:rFonts w:hint="eastAsia"/>
          <w:color w:val="auto"/>
          <w:highlight w:val="none"/>
          <w:lang w:val="nb-NO" w:eastAsia="zh"/>
          <w:woUserID w:val="3"/>
        </w:rPr>
        <w:t>、</w:t>
      </w:r>
      <w:r>
        <w:rPr>
          <w:rFonts w:hint="eastAsia"/>
          <w:color w:val="auto"/>
          <w:highlight w:val="none"/>
          <w:lang w:val="nb-NO"/>
        </w:rPr>
        <w:t>峰值应变</w:t>
      </w:r>
      <w:r>
        <w:rPr>
          <w:rFonts w:hint="eastAsia"/>
          <w:color w:val="auto"/>
          <w:highlight w:val="none"/>
          <w:lang w:val="nb-NO" w:eastAsia="zh"/>
          <w:woUserID w:val="3"/>
        </w:rPr>
        <w:t>和</w:t>
      </w:r>
      <w:r>
        <w:rPr>
          <w:rFonts w:hint="eastAsia" w:ascii="Times New Roman" w:hAnsi="Times New Roman" w:eastAsia="宋体" w:cs="Times New Roman"/>
          <w:color w:val="auto"/>
          <w:kern w:val="2"/>
          <w:sz w:val="21"/>
          <w:szCs w:val="24"/>
          <w:highlight w:val="none"/>
          <w:lang w:val="nb-NO" w:eastAsia="zh-CN" w:bidi="ar"/>
          <w:woUserID w:val="3"/>
        </w:rPr>
        <w:t>动态增强因子</w:t>
      </w:r>
      <w:r>
        <w:rPr>
          <w:rFonts w:hint="default" w:ascii="Times New Roman" w:hAnsi="Times New Roman" w:eastAsia="宋体" w:cs="Times New Roman"/>
          <w:color w:val="auto"/>
          <w:kern w:val="2"/>
          <w:sz w:val="21"/>
          <w:szCs w:val="24"/>
          <w:highlight w:val="none"/>
          <w:lang w:val="nb-NO" w:eastAsia="zh-CN" w:bidi="ar"/>
          <w:woUserID w:val="3"/>
        </w:rPr>
        <w:t>DIF</w:t>
      </w:r>
      <w:r>
        <w:rPr>
          <w:rFonts w:hint="eastAsia" w:ascii="Times New Roman" w:hAnsi="Times New Roman" w:eastAsia="宋体" w:cs="Times New Roman"/>
          <w:color w:val="auto"/>
          <w:kern w:val="2"/>
          <w:sz w:val="21"/>
          <w:szCs w:val="24"/>
          <w:highlight w:val="none"/>
          <w:lang w:val="nb-NO" w:eastAsia="zh-CN" w:bidi="ar"/>
          <w:woUserID w:val="3"/>
        </w:rPr>
        <w:t>（</w:t>
      </w:r>
      <w:r>
        <w:rPr>
          <w:rFonts w:hint="default" w:ascii="Times New Roman" w:hAnsi="Times New Roman" w:eastAsia="宋体" w:cs="Times New Roman"/>
          <w:color w:val="auto"/>
          <w:kern w:val="2"/>
          <w:sz w:val="21"/>
          <w:szCs w:val="24"/>
          <w:highlight w:val="none"/>
          <w:lang w:val="nb-NO" w:eastAsia="zh-CN" w:bidi="ar"/>
          <w:woUserID w:val="3"/>
        </w:rPr>
        <w:t>Dynamic Increase Factor</w:t>
      </w:r>
      <w:r>
        <w:rPr>
          <w:rFonts w:hint="eastAsia" w:ascii="Times New Roman" w:hAnsi="Times New Roman" w:eastAsia="宋体" w:cs="Times New Roman"/>
          <w:color w:val="auto"/>
          <w:kern w:val="2"/>
          <w:sz w:val="21"/>
          <w:szCs w:val="24"/>
          <w:highlight w:val="none"/>
          <w:lang w:val="nb-NO" w:eastAsia="zh-CN" w:bidi="ar"/>
          <w:woUserID w:val="3"/>
        </w:rPr>
        <w:t>）</w:t>
      </w:r>
      <w:r>
        <w:rPr>
          <w:rFonts w:ascii="宋体" w:hAnsi="宋体" w:eastAsia="宋体" w:cs="宋体"/>
          <w:color w:val="auto"/>
          <w:sz w:val="24"/>
          <w:szCs w:val="24"/>
          <w:highlight w:val="none"/>
          <w:lang w:eastAsia="zh-CN"/>
          <w:woUserID w:val="3"/>
        </w:rPr>
        <w:t xml:space="preserve"> </w:t>
      </w:r>
      <w:r>
        <w:rPr>
          <w:rFonts w:hint="eastAsia"/>
          <w:color w:val="auto"/>
          <w:highlight w:val="none"/>
        </w:rPr>
        <w:t>等性能。</w:t>
      </w:r>
    </w:p>
    <w:p w14:paraId="0720E040">
      <w:pPr>
        <w:kinsoku/>
        <w:overflowPunct/>
        <w:bidi w:val="0"/>
        <w:spacing w:before="156" w:beforeLines="50" w:line="360" w:lineRule="auto"/>
        <w:ind w:right="420"/>
        <w:rPr>
          <w:color w:val="auto"/>
          <w:highlight w:val="none"/>
        </w:rPr>
      </w:pPr>
      <w:r>
        <w:rPr>
          <w:color w:val="auto"/>
          <w:highlight w:val="none"/>
        </w:rPr>
        <w:t xml:space="preserve">6.14.2 </w:t>
      </w:r>
      <w:r>
        <w:rPr>
          <w:rFonts w:hint="eastAsia"/>
          <w:color w:val="auto"/>
          <w:highlight w:val="none"/>
        </w:rPr>
        <w:t>超高性能混凝土动态压缩试验原理和数据处理方法</w:t>
      </w:r>
    </w:p>
    <w:p w14:paraId="7DA4FFEE">
      <w:pPr>
        <w:pStyle w:val="53"/>
        <w:kinsoku/>
        <w:overflowPunct/>
        <w:bidi w:val="0"/>
        <w:spacing w:line="360" w:lineRule="auto"/>
        <w:rPr>
          <w:bCs w:val="0"/>
          <w:color w:val="auto"/>
          <w:kern w:val="2"/>
          <w:szCs w:val="24"/>
          <w:highlight w:val="none"/>
        </w:rPr>
      </w:pPr>
      <w:r>
        <w:rPr>
          <w:color w:val="auto"/>
          <w:highlight w:val="none"/>
        </w:rPr>
        <w:t xml:space="preserve">1 </w:t>
      </w:r>
      <w:r>
        <w:rPr>
          <w:rFonts w:hint="eastAsia"/>
          <w:color w:val="auto"/>
          <w:highlight w:val="none"/>
        </w:rPr>
        <w:t>测试原理</w:t>
      </w:r>
    </w:p>
    <w:p w14:paraId="7951E750">
      <w:pPr>
        <w:pStyle w:val="53"/>
        <w:kinsoku/>
        <w:overflowPunct/>
        <w:bidi w:val="0"/>
        <w:spacing w:line="360" w:lineRule="auto"/>
        <w:rPr>
          <w:color w:val="auto"/>
          <w:highlight w:val="none"/>
        </w:rPr>
      </w:pPr>
      <w:r>
        <w:rPr>
          <w:rFonts w:hint="eastAsia"/>
          <w:color w:val="auto"/>
          <w:highlight w:val="none"/>
        </w:rPr>
        <w:t>在室温条件下，基于一维应力波理论和应力均匀假定，采用分离式霍普金森压杆（</w:t>
      </w: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w:t>
      </w:r>
      <w:r>
        <w:rPr>
          <w:bCs w:val="0"/>
          <w:color w:val="auto"/>
          <w:kern w:val="2"/>
          <w:szCs w:val="24"/>
          <w:highlight w:val="none"/>
        </w:rPr>
        <w:t>2</w:t>
      </w:r>
      <w:r>
        <w:rPr>
          <w:rFonts w:hint="eastAsia"/>
          <w:color w:val="auto"/>
          <w:highlight w:val="none"/>
        </w:rPr>
        <w:t>）对试样进行加载，获得高应变速率下材料的压缩力学性能。</w:t>
      </w:r>
    </w:p>
    <w:p w14:paraId="79CB3578">
      <w:pPr>
        <w:pStyle w:val="53"/>
        <w:kinsoku/>
        <w:overflowPunct/>
        <w:bidi w:val="0"/>
        <w:spacing w:line="360" w:lineRule="auto"/>
        <w:rPr>
          <w:color w:val="auto"/>
          <w:highlight w:val="none"/>
        </w:rPr>
      </w:pPr>
      <w:r>
        <w:rPr>
          <w:rFonts w:hint="eastAsia"/>
          <w:color w:val="auto"/>
          <w:highlight w:val="none"/>
        </w:rPr>
        <w:t>试样共轴安放于输入杆和输出杆之间，采用气枪等装置驱动撞击杆作用输人杆产生入射波；通过输入杆的传播对试样加载，并在输入杆和输出杆中形成反射波和透射波，其传播过程见</w:t>
      </w: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w:t>
      </w:r>
      <w:r>
        <w:rPr>
          <w:bCs w:val="0"/>
          <w:color w:val="auto"/>
          <w:kern w:val="2"/>
          <w:szCs w:val="24"/>
          <w:highlight w:val="none"/>
        </w:rPr>
        <w:t>2</w:t>
      </w:r>
      <w:r>
        <w:rPr>
          <w:rFonts w:hint="eastAsia"/>
          <w:color w:val="auto"/>
          <w:highlight w:val="none"/>
        </w:rPr>
        <w:t>。根据一维应力波理论和应力均匀假定，通过对测得的入射波、反射波和透射波信号进行计算，进而获得在特定应变速率下试样的压缩力学性能。</w:t>
      </w:r>
    </w:p>
    <w:p w14:paraId="73E73CC2">
      <w:pPr>
        <w:pStyle w:val="53"/>
        <w:kinsoku/>
        <w:overflowPunct/>
        <w:bidi w:val="0"/>
        <w:spacing w:line="360" w:lineRule="auto"/>
        <w:rPr>
          <w:color w:val="auto"/>
          <w:highlight w:val="none"/>
        </w:rPr>
      </w:pPr>
      <w:r>
        <w:rPr>
          <w:rFonts w:hint="eastAsia"/>
          <w:color w:val="auto"/>
          <w:highlight w:val="none"/>
        </w:rPr>
        <w:t>试验测试数据有效情况下，为减少波形起点确定误差和计算方便，宜采用二波法中反射波和透射波法进行处理。</w:t>
      </w:r>
    </w:p>
    <w:p w14:paraId="764CF7A0">
      <w:pPr>
        <w:pStyle w:val="53"/>
        <w:kinsoku/>
        <w:overflowPunct/>
        <w:bidi w:val="0"/>
        <w:spacing w:line="360" w:lineRule="auto"/>
        <w:rPr>
          <w:color w:val="auto"/>
          <w:highlight w:val="none"/>
        </w:rPr>
      </w:pPr>
      <w:r>
        <w:rPr>
          <w:rFonts w:hint="eastAsia"/>
          <w:color w:val="auto"/>
          <w:highlight w:val="none"/>
        </w:rPr>
        <w:t>在数据处理过程中，压缩应变速率和平均工程塑性应变速率的单位为</w:t>
      </w:r>
      <w:r>
        <w:rPr>
          <w:color w:val="auto"/>
          <w:highlight w:val="none"/>
        </w:rPr>
        <w:t>ms</w:t>
      </w:r>
      <w:r>
        <w:rPr>
          <w:color w:val="auto"/>
          <w:highlight w:val="none"/>
          <w:vertAlign w:val="superscript"/>
        </w:rPr>
        <w:t>-1</w:t>
      </w:r>
      <w:r>
        <w:rPr>
          <w:rFonts w:hint="eastAsia"/>
          <w:color w:val="auto"/>
          <w:highlight w:val="none"/>
        </w:rPr>
        <w:t>，应力波传播时间的单位为</w:t>
      </w:r>
      <w:r>
        <w:rPr>
          <w:color w:val="auto"/>
          <w:highlight w:val="none"/>
        </w:rPr>
        <w:t>ms</w:t>
      </w:r>
      <w:r>
        <w:rPr>
          <w:rFonts w:hint="eastAsia"/>
          <w:color w:val="auto"/>
          <w:highlight w:val="none"/>
        </w:rPr>
        <w:t>；在结果表述时，宜将压缩应变速率单位换算成为</w:t>
      </w:r>
      <w:r>
        <w:rPr>
          <w:color w:val="auto"/>
          <w:highlight w:val="none"/>
        </w:rPr>
        <w:t>s</w:t>
      </w:r>
      <w:r>
        <w:rPr>
          <w:color w:val="auto"/>
          <w:highlight w:val="none"/>
          <w:vertAlign w:val="superscript"/>
        </w:rPr>
        <w:t>-1</w:t>
      </w:r>
      <w:r>
        <w:rPr>
          <w:rFonts w:hint="eastAsia"/>
          <w:color w:val="auto"/>
          <w:highlight w:val="none"/>
        </w:rPr>
        <w:t>；应力波传播时间单位换算成</w:t>
      </w:r>
      <w:r>
        <w:rPr>
          <w:color w:val="auto"/>
          <w:highlight w:val="none"/>
        </w:rPr>
        <w:t>μs</w:t>
      </w:r>
      <w:r>
        <w:rPr>
          <w:rFonts w:hint="eastAsia"/>
          <w:color w:val="auto"/>
          <w:highlight w:val="none"/>
        </w:rPr>
        <w:t>。</w:t>
      </w:r>
    </w:p>
    <w:p w14:paraId="71F262BA">
      <w:pPr>
        <w:pStyle w:val="53"/>
        <w:kinsoku/>
        <w:overflowPunct/>
        <w:bidi w:val="0"/>
        <w:spacing w:line="360" w:lineRule="auto"/>
        <w:ind w:firstLine="0" w:firstLineChars="0"/>
        <w:jc w:val="center"/>
        <w:rPr>
          <w:color w:val="auto"/>
          <w:highlight w:val="none"/>
        </w:rPr>
      </w:pPr>
      <w:r>
        <w:rPr>
          <w:color w:val="auto"/>
          <w:highlight w:val="none"/>
        </w:rPr>
        <w:drawing>
          <wp:inline distT="0" distB="0" distL="0" distR="0">
            <wp:extent cx="2880360" cy="2130425"/>
            <wp:effectExtent l="0" t="0" r="0" b="3175"/>
            <wp:docPr id="2144041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41883" name="图片 1"/>
                    <pic:cNvPicPr>
                      <a:picLocks noChangeAspect="1"/>
                    </pic:cNvPicPr>
                  </pic:nvPicPr>
                  <pic:blipFill>
                    <a:blip r:embed="rId148"/>
                    <a:stretch>
                      <a:fillRect/>
                    </a:stretch>
                  </pic:blipFill>
                  <pic:spPr>
                    <a:xfrm>
                      <a:off x="0" y="0"/>
                      <a:ext cx="2886918" cy="2135171"/>
                    </a:xfrm>
                    <a:prstGeom prst="rect">
                      <a:avLst/>
                    </a:prstGeom>
                  </pic:spPr>
                </pic:pic>
              </a:graphicData>
            </a:graphic>
          </wp:inline>
        </w:drawing>
      </w:r>
    </w:p>
    <w:p w14:paraId="123213C7">
      <w:pPr>
        <w:pStyle w:val="53"/>
        <w:kinsoku/>
        <w:overflowPunct/>
        <w:bidi w:val="0"/>
        <w:spacing w:line="360" w:lineRule="auto"/>
        <w:ind w:firstLine="0" w:firstLineChars="0"/>
        <w:jc w:val="center"/>
        <w:rPr>
          <w:color w:val="auto"/>
          <w:highlight w:val="none"/>
        </w:rPr>
      </w:pP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w:t>
      </w:r>
      <w:r>
        <w:rPr>
          <w:bCs w:val="0"/>
          <w:color w:val="auto"/>
          <w:kern w:val="2"/>
          <w:szCs w:val="24"/>
          <w:highlight w:val="none"/>
        </w:rPr>
        <w:t>2</w:t>
      </w:r>
      <w:r>
        <w:rPr>
          <w:color w:val="auto"/>
          <w:highlight w:val="none"/>
        </w:rPr>
        <w:t xml:space="preserve"> </w:t>
      </w:r>
      <w:r>
        <w:rPr>
          <w:rFonts w:hint="eastAsia"/>
          <w:color w:val="auto"/>
          <w:highlight w:val="none"/>
        </w:rPr>
        <w:t>分离式霍普金森压杆的测试原理示意图</w:t>
      </w:r>
    </w:p>
    <w:p w14:paraId="73D817EA">
      <w:pPr>
        <w:pStyle w:val="53"/>
        <w:kinsoku/>
        <w:overflowPunct/>
        <w:bidi w:val="0"/>
        <w:spacing w:line="360" w:lineRule="auto"/>
        <w:ind w:firstLine="0" w:firstLineChars="0"/>
        <w:jc w:val="center"/>
        <w:rPr>
          <w:color w:val="auto"/>
          <w:highlight w:val="none"/>
        </w:rPr>
      </w:pPr>
      <w:r>
        <w:rPr>
          <w:color w:val="auto"/>
          <w:sz w:val="18"/>
          <w:szCs w:val="16"/>
          <w:highlight w:val="none"/>
        </w:rPr>
        <w:t>1</w:t>
      </w:r>
      <w:r>
        <w:rPr>
          <w:rFonts w:hint="eastAsia"/>
          <w:color w:val="auto"/>
          <w:sz w:val="18"/>
          <w:szCs w:val="16"/>
          <w:highlight w:val="none"/>
        </w:rPr>
        <w:t>—撞击杆；</w:t>
      </w:r>
      <w:r>
        <w:rPr>
          <w:color w:val="auto"/>
          <w:sz w:val="18"/>
          <w:szCs w:val="16"/>
          <w:highlight w:val="none"/>
        </w:rPr>
        <w:t>2</w:t>
      </w:r>
      <w:r>
        <w:rPr>
          <w:rFonts w:hint="eastAsia"/>
          <w:color w:val="auto"/>
          <w:sz w:val="18"/>
          <w:szCs w:val="16"/>
          <w:highlight w:val="none"/>
        </w:rPr>
        <w:t>—输入杆；</w:t>
      </w:r>
      <w:r>
        <w:rPr>
          <w:color w:val="auto"/>
          <w:sz w:val="18"/>
          <w:szCs w:val="16"/>
          <w:highlight w:val="none"/>
        </w:rPr>
        <w:t>3</w:t>
      </w:r>
      <w:r>
        <w:rPr>
          <w:rFonts w:hint="eastAsia"/>
          <w:color w:val="auto"/>
          <w:sz w:val="18"/>
          <w:szCs w:val="16"/>
          <w:highlight w:val="none"/>
        </w:rPr>
        <w:t>—应变计；</w:t>
      </w:r>
      <w:r>
        <w:rPr>
          <w:color w:val="auto"/>
          <w:sz w:val="18"/>
          <w:szCs w:val="16"/>
          <w:highlight w:val="none"/>
        </w:rPr>
        <w:t>4</w:t>
      </w:r>
      <w:r>
        <w:rPr>
          <w:rFonts w:hint="eastAsia"/>
          <w:color w:val="auto"/>
          <w:sz w:val="18"/>
          <w:szCs w:val="16"/>
          <w:highlight w:val="none"/>
        </w:rPr>
        <w:t>—试样；</w:t>
      </w:r>
      <w:r>
        <w:rPr>
          <w:color w:val="auto"/>
          <w:sz w:val="18"/>
          <w:szCs w:val="16"/>
          <w:highlight w:val="none"/>
        </w:rPr>
        <w:t>5</w:t>
      </w:r>
      <w:r>
        <w:rPr>
          <w:rFonts w:hint="eastAsia"/>
          <w:color w:val="auto"/>
          <w:sz w:val="18"/>
          <w:szCs w:val="16"/>
          <w:highlight w:val="none"/>
        </w:rPr>
        <w:t>—输出杆。</w:t>
      </w:r>
    </w:p>
    <w:p w14:paraId="0748B3D8">
      <w:pPr>
        <w:pStyle w:val="53"/>
        <w:kinsoku/>
        <w:overflowPunct/>
        <w:bidi w:val="0"/>
        <w:spacing w:line="360" w:lineRule="auto"/>
        <w:rPr>
          <w:bCs w:val="0"/>
          <w:color w:val="auto"/>
          <w:kern w:val="2"/>
          <w:szCs w:val="24"/>
          <w:highlight w:val="none"/>
        </w:rPr>
      </w:pPr>
      <w:r>
        <w:rPr>
          <w:color w:val="auto"/>
          <w:highlight w:val="none"/>
        </w:rPr>
        <w:t xml:space="preserve">2 </w:t>
      </w:r>
      <w:r>
        <w:rPr>
          <w:rFonts w:hint="eastAsia"/>
          <w:color w:val="auto"/>
          <w:highlight w:val="none"/>
        </w:rPr>
        <w:t>数据处理方法</w:t>
      </w:r>
    </w:p>
    <w:p w14:paraId="49F455F5">
      <w:pPr>
        <w:pStyle w:val="53"/>
        <w:kinsoku/>
        <w:overflowPunct/>
        <w:bidi w:val="0"/>
        <w:spacing w:line="360" w:lineRule="auto"/>
        <w:ind w:firstLine="525" w:firstLineChars="250"/>
        <w:rPr>
          <w:color w:val="auto"/>
          <w:highlight w:val="none"/>
        </w:rPr>
      </w:pPr>
      <w:r>
        <w:rPr>
          <w:rFonts w:hint="eastAsia"/>
          <w:color w:val="auto"/>
          <w:highlight w:val="none"/>
        </w:rPr>
        <w:t>数据处理方法选择二波法（反射波和透射波法）。相关公式如下：</w:t>
      </w:r>
    </w:p>
    <w:p w14:paraId="24FD96EC">
      <w:pPr>
        <w:pStyle w:val="53"/>
        <w:kinsoku/>
        <w:overflowPunct/>
        <w:bidi w:val="0"/>
        <w:spacing w:line="360" w:lineRule="auto"/>
        <w:ind w:firstLine="525" w:firstLineChars="250"/>
        <w:rPr>
          <w:color w:val="auto"/>
          <w:highlight w:val="none"/>
        </w:rPr>
      </w:pPr>
      <w:r>
        <w:rPr>
          <w:rFonts w:hint="eastAsia"/>
          <w:color w:val="auto"/>
          <w:highlight w:val="none"/>
        </w:rPr>
        <w:t>①根据分离式霍普金森压缩试验方法的均匀性假设，入射波、反射波和透射波满足式（</w:t>
      </w:r>
      <w:r>
        <w:rPr>
          <w:color w:val="auto"/>
          <w:highlight w:val="none"/>
        </w:rPr>
        <w:t>6.14.2-1</w:t>
      </w:r>
      <w:r>
        <w:rPr>
          <w:rFonts w:hint="eastAsia"/>
          <w:color w:val="auto"/>
          <w:highlight w:val="none"/>
        </w:rPr>
        <w:t>）：</w:t>
      </w:r>
    </w:p>
    <w:p w14:paraId="6F6CD4F0">
      <w:pPr>
        <w:pStyle w:val="53"/>
        <w:kinsoku/>
        <w:overflowPunct/>
        <w:bidi w:val="0"/>
        <w:spacing w:line="360" w:lineRule="auto"/>
        <w:ind w:firstLine="420" w:firstLineChars="200"/>
        <w:jc w:val="right"/>
        <w:rPr>
          <w:color w:val="auto"/>
          <w:highlight w:val="none"/>
        </w:rPr>
      </w:pPr>
      <w:r>
        <w:rPr>
          <w:color w:val="auto"/>
          <w:position w:val="-14"/>
          <w:highlight w:val="none"/>
        </w:rPr>
        <w:object>
          <v:shape id="_x0000_i1080" o:spt="75" type="#_x0000_t75" style="height:20.25pt;width:100pt;" o:ole="t" filled="f" o:preferrelative="t" stroked="f" coordsize="21600,21600">
            <v:path/>
            <v:fill on="f" focussize="0,0"/>
            <v:stroke on="f" joinstyle="miter"/>
            <v:imagedata r:id="rId150" o:title=""/>
            <o:lock v:ext="edit" aspectratio="t"/>
            <w10:wrap type="none"/>
            <w10:anchorlock/>
          </v:shape>
          <o:OLEObject Type="Embed" ProgID="Equation.DSMT4" ShapeID="_x0000_i1080" DrawAspect="Content" ObjectID="_1468075780" r:id="rId149">
            <o:LockedField>false</o:LockedField>
          </o:OLEObject>
        </w:object>
      </w:r>
      <w:r>
        <w:rPr>
          <w:color w:val="auto"/>
          <w:highlight w:val="none"/>
        </w:rPr>
        <w:t xml:space="preserve">                        </w:t>
      </w:r>
      <w:r>
        <w:rPr>
          <w:rFonts w:hint="eastAsia"/>
          <w:color w:val="auto"/>
          <w:highlight w:val="none"/>
        </w:rPr>
        <w:t>（</w:t>
      </w:r>
      <w:r>
        <w:rPr>
          <w:color w:val="auto"/>
          <w:highlight w:val="none"/>
        </w:rPr>
        <w:t>6.14.2-1</w:t>
      </w:r>
      <w:r>
        <w:rPr>
          <w:rFonts w:hint="eastAsia"/>
          <w:color w:val="auto"/>
          <w:highlight w:val="none"/>
        </w:rPr>
        <w:t>）</w:t>
      </w:r>
    </w:p>
    <w:p w14:paraId="4DE203A0">
      <w:pPr>
        <w:pStyle w:val="53"/>
        <w:kinsoku/>
        <w:overflowPunct/>
        <w:bidi w:val="0"/>
        <w:spacing w:line="360" w:lineRule="auto"/>
        <w:ind w:firstLine="525" w:firstLineChars="250"/>
        <w:rPr>
          <w:color w:val="auto"/>
          <w:highlight w:val="none"/>
        </w:rPr>
      </w:pPr>
      <w:r>
        <w:rPr>
          <w:rFonts w:hint="eastAsia"/>
          <w:color w:val="auto"/>
          <w:highlight w:val="none"/>
        </w:rPr>
        <w:t>②工程压缩应变速率按式（</w:t>
      </w:r>
      <w:r>
        <w:rPr>
          <w:color w:val="auto"/>
          <w:highlight w:val="none"/>
        </w:rPr>
        <w:t>6.14.2-2</w:t>
      </w:r>
      <w:r>
        <w:rPr>
          <w:rFonts w:hint="eastAsia"/>
          <w:color w:val="auto"/>
          <w:highlight w:val="none"/>
        </w:rPr>
        <w:t>）计算：</w:t>
      </w:r>
    </w:p>
    <w:p w14:paraId="55873CDA">
      <w:pPr>
        <w:pStyle w:val="53"/>
        <w:kinsoku/>
        <w:overflowPunct/>
        <w:bidi w:val="0"/>
        <w:spacing w:line="360" w:lineRule="auto"/>
        <w:ind w:firstLine="420" w:firstLineChars="200"/>
        <w:jc w:val="right"/>
        <w:rPr>
          <w:color w:val="auto"/>
          <w:highlight w:val="none"/>
        </w:rPr>
      </w:pPr>
      <w:r>
        <w:rPr>
          <w:color w:val="auto"/>
          <w:position w:val="-30"/>
          <w:highlight w:val="none"/>
        </w:rPr>
        <w:object>
          <v:shape id="_x0000_i1081" o:spt="75" type="#_x0000_t75" style="height:34.25pt;width:93pt;" o:ole="t" filled="f" o:preferrelative="t" stroked="f" coordsize="21600,21600">
            <v:path/>
            <v:fill on="f" focussize="0,0"/>
            <v:stroke on="f" joinstyle="miter"/>
            <v:imagedata r:id="rId152" o:title=""/>
            <o:lock v:ext="edit" aspectratio="t"/>
            <w10:wrap type="none"/>
            <w10:anchorlock/>
          </v:shape>
          <o:OLEObject Type="Embed" ProgID="Equation.DSMT4" ShapeID="_x0000_i1081" DrawAspect="Content" ObjectID="_1468075781" r:id="rId151">
            <o:LockedField>false</o:LockedField>
          </o:OLEObject>
        </w:object>
      </w:r>
      <w:r>
        <w:rPr>
          <w:color w:val="auto"/>
          <w:highlight w:val="none"/>
        </w:rPr>
        <w:t xml:space="preserve">                        </w:t>
      </w:r>
      <w:r>
        <w:rPr>
          <w:rFonts w:hint="eastAsia"/>
          <w:color w:val="auto"/>
          <w:highlight w:val="none"/>
        </w:rPr>
        <w:t>（</w:t>
      </w:r>
      <w:r>
        <w:rPr>
          <w:color w:val="auto"/>
          <w:highlight w:val="none"/>
        </w:rPr>
        <w:t>6.14.2-2</w:t>
      </w:r>
      <w:r>
        <w:rPr>
          <w:rFonts w:hint="eastAsia"/>
          <w:color w:val="auto"/>
          <w:highlight w:val="none"/>
        </w:rPr>
        <w:t>）</w:t>
      </w:r>
    </w:p>
    <w:p w14:paraId="45721810">
      <w:pPr>
        <w:pStyle w:val="53"/>
        <w:kinsoku/>
        <w:overflowPunct/>
        <w:bidi w:val="0"/>
        <w:spacing w:line="360" w:lineRule="auto"/>
        <w:ind w:firstLine="525" w:firstLineChars="250"/>
        <w:rPr>
          <w:color w:val="auto"/>
          <w:highlight w:val="none"/>
        </w:rPr>
      </w:pPr>
      <w:r>
        <w:rPr>
          <w:rFonts w:hint="eastAsia"/>
          <w:color w:val="auto"/>
          <w:highlight w:val="none"/>
        </w:rPr>
        <w:t>③工程压缩应变按式（</w:t>
      </w:r>
      <w:r>
        <w:rPr>
          <w:color w:val="auto"/>
          <w:highlight w:val="none"/>
        </w:rPr>
        <w:t>6.14.2-3</w:t>
      </w:r>
      <w:r>
        <w:rPr>
          <w:rFonts w:hint="eastAsia"/>
          <w:color w:val="auto"/>
          <w:highlight w:val="none"/>
        </w:rPr>
        <w:t>）计算：</w:t>
      </w:r>
    </w:p>
    <w:p w14:paraId="4511E85E">
      <w:pPr>
        <w:pStyle w:val="53"/>
        <w:kinsoku/>
        <w:overflowPunct/>
        <w:bidi w:val="0"/>
        <w:spacing w:line="360" w:lineRule="auto"/>
        <w:ind w:firstLine="420" w:firstLineChars="200"/>
        <w:jc w:val="right"/>
        <w:rPr>
          <w:color w:val="auto"/>
          <w:highlight w:val="none"/>
        </w:rPr>
      </w:pPr>
      <w:r>
        <w:rPr>
          <w:color w:val="auto"/>
          <w:position w:val="-30"/>
          <w:highlight w:val="none"/>
        </w:rPr>
        <w:object>
          <v:shape id="_x0000_i1082" o:spt="75" type="#_x0000_t75" style="height:34.25pt;width:117.15pt;" o:ole="t" filled="f" o:preferrelative="t" stroked="f" coordsize="21600,21600">
            <v:path/>
            <v:fill on="f" focussize="0,0"/>
            <v:stroke on="f" joinstyle="miter"/>
            <v:imagedata r:id="rId154" o:title=""/>
            <o:lock v:ext="edit" aspectratio="t"/>
            <w10:wrap type="none"/>
            <w10:anchorlock/>
          </v:shape>
          <o:OLEObject Type="Embed" ProgID="Equation.DSMT4" ShapeID="_x0000_i1082" DrawAspect="Content" ObjectID="_1468075782" r:id="rId153">
            <o:LockedField>false</o:LockedField>
          </o:OLEObject>
        </w:object>
      </w:r>
      <w:r>
        <w:rPr>
          <w:color w:val="auto"/>
          <w:highlight w:val="none"/>
        </w:rPr>
        <w:t xml:space="preserve">                     </w:t>
      </w:r>
      <w:r>
        <w:rPr>
          <w:rFonts w:hint="eastAsia"/>
          <w:color w:val="auto"/>
          <w:highlight w:val="none"/>
        </w:rPr>
        <w:t>（</w:t>
      </w:r>
      <w:r>
        <w:rPr>
          <w:color w:val="auto"/>
          <w:highlight w:val="none"/>
        </w:rPr>
        <w:t>6.14.2-3</w:t>
      </w:r>
      <w:r>
        <w:rPr>
          <w:rFonts w:hint="eastAsia"/>
          <w:color w:val="auto"/>
          <w:highlight w:val="none"/>
        </w:rPr>
        <w:t>）</w:t>
      </w:r>
    </w:p>
    <w:p w14:paraId="6037572A">
      <w:pPr>
        <w:pStyle w:val="53"/>
        <w:kinsoku/>
        <w:overflowPunct/>
        <w:bidi w:val="0"/>
        <w:spacing w:line="360" w:lineRule="auto"/>
        <w:ind w:firstLine="525" w:firstLineChars="250"/>
        <w:rPr>
          <w:color w:val="auto"/>
          <w:highlight w:val="none"/>
        </w:rPr>
      </w:pPr>
      <w:r>
        <w:rPr>
          <w:rFonts w:hint="eastAsia"/>
          <w:color w:val="auto"/>
          <w:highlight w:val="none"/>
        </w:rPr>
        <w:t>④工程压缩应力按式（</w:t>
      </w:r>
      <w:r>
        <w:rPr>
          <w:color w:val="auto"/>
          <w:highlight w:val="none"/>
        </w:rPr>
        <w:t>6.14.2-4</w:t>
      </w:r>
      <w:r>
        <w:rPr>
          <w:rFonts w:hint="eastAsia"/>
          <w:color w:val="auto"/>
          <w:highlight w:val="none"/>
        </w:rPr>
        <w:t>）计算：</w:t>
      </w:r>
    </w:p>
    <w:p w14:paraId="4617E290">
      <w:pPr>
        <w:pStyle w:val="53"/>
        <w:kinsoku/>
        <w:overflowPunct/>
        <w:bidi w:val="0"/>
        <w:spacing w:line="360" w:lineRule="auto"/>
        <w:ind w:firstLine="420" w:firstLineChars="200"/>
        <w:jc w:val="right"/>
        <w:rPr>
          <w:color w:val="auto"/>
          <w:highlight w:val="none"/>
        </w:rPr>
      </w:pPr>
      <w:r>
        <w:rPr>
          <w:color w:val="auto"/>
          <w:position w:val="-30"/>
          <w:highlight w:val="none"/>
        </w:rPr>
        <w:object>
          <v:shape id="_x0000_i1083" o:spt="75" type="#_x0000_t75" style="height:36.2pt;width:92.25pt;" o:ole="t" filled="f" o:preferrelative="t" stroked="f" coordsize="21600,21600">
            <v:path/>
            <v:fill on="f" focussize="0,0"/>
            <v:stroke on="f" joinstyle="miter"/>
            <v:imagedata r:id="rId156" o:title=""/>
            <o:lock v:ext="edit" aspectratio="t"/>
            <w10:wrap type="none"/>
            <w10:anchorlock/>
          </v:shape>
          <o:OLEObject Type="Embed" ProgID="Equation.DSMT4" ShapeID="_x0000_i1083" DrawAspect="Content" ObjectID="_1468075783" r:id="rId155">
            <o:LockedField>false</o:LockedField>
          </o:OLEObject>
        </w:object>
      </w:r>
      <w:r>
        <w:rPr>
          <w:color w:val="auto"/>
          <w:highlight w:val="none"/>
        </w:rPr>
        <w:t xml:space="preserve">                       </w:t>
      </w:r>
      <w:r>
        <w:rPr>
          <w:rFonts w:hint="eastAsia"/>
          <w:color w:val="auto"/>
          <w:highlight w:val="none"/>
        </w:rPr>
        <w:t>（</w:t>
      </w:r>
      <w:r>
        <w:rPr>
          <w:color w:val="auto"/>
          <w:highlight w:val="none"/>
        </w:rPr>
        <w:t>6.14.2-4</w:t>
      </w:r>
      <w:r>
        <w:rPr>
          <w:rFonts w:hint="eastAsia"/>
          <w:color w:val="auto"/>
          <w:highlight w:val="none"/>
        </w:rPr>
        <w:t>）</w:t>
      </w:r>
    </w:p>
    <w:p w14:paraId="3EBE5F27">
      <w:pPr>
        <w:kinsoku/>
        <w:overflowPunct/>
        <w:bidi w:val="0"/>
        <w:spacing w:before="156" w:beforeLines="50" w:line="360" w:lineRule="auto"/>
        <w:ind w:right="420"/>
        <w:rPr>
          <w:color w:val="auto"/>
          <w:highlight w:val="none"/>
        </w:rPr>
      </w:pPr>
      <w:r>
        <w:rPr>
          <w:color w:val="auto"/>
          <w:highlight w:val="none"/>
        </w:rPr>
        <w:t xml:space="preserve">6.14.3 </w:t>
      </w:r>
      <w:r>
        <w:rPr>
          <w:rFonts w:hint="eastAsia"/>
          <w:color w:val="auto"/>
          <w:highlight w:val="none"/>
        </w:rPr>
        <w:t>测定超高性能混凝土动态压缩试验的试件应符合下列规定</w:t>
      </w:r>
      <w:r>
        <w:rPr>
          <w:color w:val="auto"/>
          <w:highlight w:val="none"/>
        </w:rPr>
        <w:t>:</w:t>
      </w:r>
    </w:p>
    <w:p w14:paraId="0FBCC1E3">
      <w:pPr>
        <w:pStyle w:val="53"/>
        <w:kinsoku/>
        <w:overflowPunct/>
        <w:bidi w:val="0"/>
        <w:spacing w:line="360" w:lineRule="auto"/>
        <w:rPr>
          <w:color w:val="auto"/>
          <w:highlight w:val="none"/>
        </w:rPr>
      </w:pPr>
      <w:r>
        <w:rPr>
          <w:color w:val="auto"/>
          <w:highlight w:val="none"/>
        </w:rPr>
        <w:t xml:space="preserve">1 </w:t>
      </w:r>
      <w:r>
        <w:rPr>
          <w:rFonts w:hint="eastAsia"/>
          <w:color w:val="auto"/>
          <w:highlight w:val="none"/>
        </w:rPr>
        <w:t>标准试件是直径为</w:t>
      </w:r>
      <w:r>
        <w:rPr>
          <w:rFonts w:hint="eastAsia"/>
          <w:color w:val="auto"/>
          <w:highlight w:val="none"/>
          <w:lang w:eastAsia="zh"/>
          <w:woUserID w:val="3"/>
        </w:rPr>
        <w:t>5</w:t>
      </w:r>
      <w:r>
        <w:rPr>
          <w:bCs w:val="0"/>
          <w:color w:val="auto"/>
          <w:kern w:val="2"/>
          <w:szCs w:val="21"/>
          <w:highlight w:val="none"/>
          <w:lang w:val="nb-NO"/>
        </w:rPr>
        <w:t>0</w:t>
      </w:r>
      <w:r>
        <w:rPr>
          <w:color w:val="auto"/>
          <w:highlight w:val="none"/>
        </w:rPr>
        <w:t>mm</w:t>
      </w:r>
      <w:r>
        <w:rPr>
          <w:rFonts w:hint="eastAsia"/>
          <w:color w:val="auto"/>
          <w:highlight w:val="none"/>
        </w:rPr>
        <w:t>，高为</w:t>
      </w:r>
      <w:r>
        <w:rPr>
          <w:rFonts w:hint="eastAsia"/>
          <w:color w:val="auto"/>
          <w:highlight w:val="none"/>
          <w:lang w:eastAsia="zh"/>
          <w:woUserID w:val="3"/>
        </w:rPr>
        <w:t>2</w:t>
      </w:r>
      <w:r>
        <w:rPr>
          <w:color w:val="auto"/>
          <w:highlight w:val="none"/>
        </w:rPr>
        <w:t>5mm</w:t>
      </w:r>
      <w:r>
        <w:rPr>
          <w:rFonts w:hint="eastAsia"/>
          <w:color w:val="auto"/>
          <w:highlight w:val="none"/>
        </w:rPr>
        <w:t>的圆柱体试件，且两个端面平行度不大于</w:t>
      </w:r>
      <w:r>
        <w:rPr>
          <w:color w:val="auto"/>
          <w:highlight w:val="none"/>
        </w:rPr>
        <w:t>0.02mm</w:t>
      </w:r>
      <w:r>
        <w:rPr>
          <w:rFonts w:hint="eastAsia"/>
          <w:color w:val="auto"/>
          <w:highlight w:val="none"/>
        </w:rPr>
        <w:t>；</w:t>
      </w:r>
    </w:p>
    <w:p w14:paraId="285531D3">
      <w:pPr>
        <w:pStyle w:val="53"/>
        <w:kinsoku/>
        <w:overflowPunct/>
        <w:bidi w:val="0"/>
        <w:spacing w:line="360" w:lineRule="auto"/>
        <w:rPr>
          <w:color w:val="auto"/>
          <w:highlight w:val="none"/>
        </w:rPr>
      </w:pPr>
      <w:r>
        <w:rPr>
          <w:color w:val="auto"/>
          <w:highlight w:val="none"/>
        </w:rPr>
        <w:t xml:space="preserve">2 </w:t>
      </w:r>
      <w:r>
        <w:rPr>
          <w:rFonts w:hint="eastAsia"/>
          <w:color w:val="auto"/>
          <w:highlight w:val="none"/>
        </w:rPr>
        <w:t>标准试件端面应垂直于试样轴线，允许误差为±0.25°，还应满足本标准</w:t>
      </w:r>
      <w:r>
        <w:rPr>
          <w:color w:val="auto"/>
          <w:highlight w:val="none"/>
        </w:rPr>
        <w:t>4.</w:t>
      </w:r>
      <w:r>
        <w:rPr>
          <w:rFonts w:hint="eastAsia"/>
          <w:color w:val="auto"/>
          <w:highlight w:val="none"/>
          <w:lang w:eastAsia="zh"/>
          <w:woUserID w:val="3"/>
        </w:rPr>
        <w:t>3条</w:t>
      </w:r>
      <w:r>
        <w:rPr>
          <w:rFonts w:hint="eastAsia"/>
          <w:color w:val="auto"/>
          <w:highlight w:val="none"/>
        </w:rPr>
        <w:t>试件的尺寸测量与公差要求；</w:t>
      </w:r>
    </w:p>
    <w:p w14:paraId="359831A8">
      <w:pPr>
        <w:pStyle w:val="53"/>
        <w:kinsoku/>
        <w:overflowPunct/>
        <w:bidi w:val="0"/>
        <w:spacing w:line="360" w:lineRule="auto"/>
        <w:rPr>
          <w:color w:val="auto"/>
          <w:highlight w:val="none"/>
        </w:rPr>
      </w:pPr>
      <w:r>
        <w:rPr>
          <w:color w:val="auto"/>
          <w:highlight w:val="none"/>
        </w:rPr>
        <w:t xml:space="preserve">3 </w:t>
      </w:r>
      <w:r>
        <w:rPr>
          <w:rFonts w:hint="eastAsia"/>
          <w:color w:val="auto"/>
          <w:highlight w:val="none"/>
        </w:rPr>
        <w:t>一组标准试件应锯切自一根样坯，锯切加工后应采用磨床精密加工打磨，且锯切和打磨过程中应避免过热影响试样材料动态力学性能；</w:t>
      </w:r>
    </w:p>
    <w:p w14:paraId="6FF4308A">
      <w:pPr>
        <w:pStyle w:val="53"/>
        <w:kinsoku/>
        <w:overflowPunct/>
        <w:bidi w:val="0"/>
        <w:spacing w:line="360" w:lineRule="auto"/>
        <w:rPr>
          <w:color w:val="auto"/>
          <w:highlight w:val="none"/>
        </w:rPr>
      </w:pPr>
      <w:r>
        <w:rPr>
          <w:color w:val="auto"/>
          <w:highlight w:val="none"/>
        </w:rPr>
        <w:t xml:space="preserve">4 </w:t>
      </w:r>
      <w:r>
        <w:rPr>
          <w:rFonts w:hint="eastAsia"/>
          <w:color w:val="auto"/>
          <w:highlight w:val="none"/>
        </w:rPr>
        <w:t>样坯直径宜为</w:t>
      </w:r>
      <w:r>
        <w:rPr>
          <w:rFonts w:hint="eastAsia"/>
          <w:color w:val="auto"/>
          <w:highlight w:val="none"/>
          <w:lang w:eastAsia="zh"/>
          <w:woUserID w:val="3"/>
        </w:rPr>
        <w:t>5</w:t>
      </w:r>
      <w:r>
        <w:rPr>
          <w:color w:val="auto"/>
          <w:highlight w:val="none"/>
        </w:rPr>
        <w:t>0mm</w:t>
      </w:r>
      <w:r>
        <w:rPr>
          <w:rFonts w:hint="eastAsia"/>
          <w:color w:val="auto"/>
          <w:highlight w:val="none"/>
        </w:rPr>
        <w:t>，长度不宜小于</w:t>
      </w:r>
      <w:r>
        <w:rPr>
          <w:rFonts w:hint="eastAsia"/>
          <w:color w:val="auto"/>
          <w:highlight w:val="none"/>
          <w:lang w:eastAsia="zh"/>
          <w:woUserID w:val="3"/>
        </w:rPr>
        <w:t>300</w:t>
      </w:r>
      <w:r>
        <w:rPr>
          <w:color w:val="auto"/>
          <w:highlight w:val="none"/>
        </w:rPr>
        <w:t>mm</w:t>
      </w:r>
      <w:r>
        <w:rPr>
          <w:rFonts w:hint="eastAsia"/>
          <w:color w:val="auto"/>
          <w:highlight w:val="none"/>
          <w:lang w:eastAsia="zh"/>
          <w:woUserID w:val="3"/>
        </w:rPr>
        <w:t>，试件锯切时，两端去除的长度宜大于钢纤维长度的1/2</w:t>
      </w:r>
      <w:r>
        <w:rPr>
          <w:rFonts w:hint="eastAsia"/>
          <w:color w:val="auto"/>
          <w:highlight w:val="none"/>
        </w:rPr>
        <w:t>，样坯制备方式应参照本标准</w:t>
      </w:r>
      <w:r>
        <w:rPr>
          <w:color w:val="auto"/>
          <w:highlight w:val="none"/>
        </w:rPr>
        <w:t>4.</w:t>
      </w:r>
      <w:r>
        <w:rPr>
          <w:rFonts w:hint="eastAsia"/>
          <w:color w:val="auto"/>
          <w:highlight w:val="none"/>
          <w:lang w:eastAsia="zh"/>
          <w:woUserID w:val="3"/>
        </w:rPr>
        <w:t>2</w:t>
      </w:r>
      <w:r>
        <w:rPr>
          <w:rFonts w:hint="eastAsia"/>
          <w:color w:val="auto"/>
          <w:highlight w:val="none"/>
        </w:rPr>
        <w:t>条；</w:t>
      </w:r>
    </w:p>
    <w:p w14:paraId="438526DC">
      <w:pPr>
        <w:pStyle w:val="53"/>
        <w:kinsoku/>
        <w:overflowPunct/>
        <w:bidi w:val="0"/>
        <w:spacing w:line="360" w:lineRule="auto"/>
        <w:rPr>
          <w:color w:val="auto"/>
          <w:highlight w:val="none"/>
        </w:rPr>
      </w:pPr>
      <w:r>
        <w:rPr>
          <w:rFonts w:hint="eastAsia"/>
          <w:color w:val="auto"/>
          <w:highlight w:val="none"/>
        </w:rPr>
        <w:t xml:space="preserve">5 </w:t>
      </w:r>
      <w:r>
        <w:rPr>
          <w:rFonts w:hint="eastAsia"/>
          <w:color w:val="auto"/>
          <w:highlight w:val="none"/>
          <w:lang w:eastAsia="zh"/>
          <w:woUserID w:val="3"/>
        </w:rPr>
        <w:t>需测试饱水状态的试件动态压缩性能时，</w:t>
      </w:r>
      <w:r>
        <w:rPr>
          <w:rFonts w:hint="eastAsia"/>
          <w:color w:val="auto"/>
          <w:highlight w:val="none"/>
        </w:rPr>
        <w:t>除锯切、打磨等工序外，其他时间</w:t>
      </w:r>
      <w:r>
        <w:rPr>
          <w:rFonts w:hint="eastAsia"/>
          <w:color w:val="auto"/>
          <w:highlight w:val="none"/>
          <w:lang w:eastAsia="zh"/>
          <w:woUserID w:val="3"/>
        </w:rPr>
        <w:t>内试件</w:t>
      </w:r>
      <w:r>
        <w:rPr>
          <w:rFonts w:hint="eastAsia"/>
          <w:color w:val="auto"/>
          <w:highlight w:val="none"/>
        </w:rPr>
        <w:t>应处于保湿养护状态，置于温度为20℃±2℃，相对湿度为95%以上的标准养护室中，或在温度为20℃±2℃的不流动氢氧化钙饱和溶液中；</w:t>
      </w:r>
    </w:p>
    <w:p w14:paraId="3B40DE9C">
      <w:pPr>
        <w:pStyle w:val="53"/>
        <w:kinsoku/>
        <w:overflowPunct/>
        <w:bidi w:val="0"/>
        <w:spacing w:line="360" w:lineRule="auto"/>
        <w:rPr>
          <w:color w:val="auto"/>
          <w:highlight w:val="none"/>
        </w:rPr>
      </w:pPr>
      <w:r>
        <w:rPr>
          <w:rFonts w:hint="eastAsia"/>
          <w:color w:val="auto"/>
          <w:highlight w:val="none"/>
        </w:rPr>
        <w:t xml:space="preserve">6 </w:t>
      </w:r>
      <w:r>
        <w:rPr>
          <w:rFonts w:hint="eastAsia"/>
          <w:color w:val="auto"/>
          <w:highlight w:val="none"/>
          <w:lang w:eastAsia="zh"/>
          <w:woUserID w:val="3"/>
        </w:rPr>
        <w:t>需测试</w:t>
      </w:r>
      <w:r>
        <w:rPr>
          <w:rFonts w:hint="eastAsia"/>
          <w:color w:val="auto"/>
          <w:highlight w:val="none"/>
        </w:rPr>
        <w:t>其他状态</w:t>
      </w:r>
      <w:r>
        <w:rPr>
          <w:rFonts w:hint="eastAsia"/>
          <w:color w:val="auto"/>
          <w:highlight w:val="none"/>
          <w:lang w:eastAsia="zh"/>
          <w:woUserID w:val="3"/>
        </w:rPr>
        <w:t>的试件动态压缩性能时</w:t>
      </w:r>
      <w:r>
        <w:rPr>
          <w:rFonts w:hint="eastAsia"/>
          <w:color w:val="auto"/>
          <w:highlight w:val="none"/>
        </w:rPr>
        <w:t>，应将试件置于相应环境内不少于48h，直至两个连续的24h间隔的质量变化小于0.2%；</w:t>
      </w:r>
    </w:p>
    <w:p w14:paraId="28830DB4">
      <w:pPr>
        <w:pStyle w:val="53"/>
        <w:kinsoku/>
        <w:overflowPunct/>
        <w:bidi w:val="0"/>
        <w:spacing w:line="360" w:lineRule="auto"/>
        <w:rPr>
          <w:color w:val="auto"/>
          <w:highlight w:val="none"/>
        </w:rPr>
      </w:pPr>
      <w:r>
        <w:rPr>
          <w:rFonts w:hint="eastAsia"/>
          <w:color w:val="auto"/>
          <w:highlight w:val="none"/>
        </w:rPr>
        <w:t>7</w:t>
      </w:r>
      <w:r>
        <w:rPr>
          <w:color w:val="auto"/>
          <w:highlight w:val="none"/>
        </w:rPr>
        <w:t xml:space="preserve"> </w:t>
      </w:r>
      <w:r>
        <w:rPr>
          <w:rFonts w:hint="eastAsia"/>
          <w:color w:val="auto"/>
          <w:highlight w:val="none"/>
        </w:rPr>
        <w:t>每组试件不宜少于</w:t>
      </w:r>
      <w:r>
        <w:rPr>
          <w:color w:val="auto"/>
          <w:highlight w:val="none"/>
        </w:rPr>
        <w:t>9</w:t>
      </w:r>
      <w:r>
        <w:rPr>
          <w:rFonts w:hint="eastAsia"/>
          <w:color w:val="auto"/>
          <w:highlight w:val="none"/>
        </w:rPr>
        <w:t>块。</w:t>
      </w:r>
    </w:p>
    <w:p w14:paraId="64DEB8F7">
      <w:pPr>
        <w:kinsoku/>
        <w:overflowPunct/>
        <w:bidi w:val="0"/>
        <w:spacing w:before="156" w:beforeLines="50" w:line="360" w:lineRule="auto"/>
        <w:ind w:right="420"/>
        <w:rPr>
          <w:color w:val="auto"/>
          <w:highlight w:val="none"/>
        </w:rPr>
      </w:pPr>
      <w:r>
        <w:rPr>
          <w:color w:val="auto"/>
          <w:highlight w:val="none"/>
        </w:rPr>
        <w:t xml:space="preserve">6.14.4 </w:t>
      </w:r>
      <w:r>
        <w:rPr>
          <w:rFonts w:hint="eastAsia"/>
          <w:color w:val="auto"/>
          <w:highlight w:val="none"/>
        </w:rPr>
        <w:t>超高性能混凝土动态压缩试验仪器设备应符合下列规定。</w:t>
      </w:r>
    </w:p>
    <w:p w14:paraId="4F6ACA40">
      <w:pPr>
        <w:pStyle w:val="53"/>
        <w:kinsoku/>
        <w:overflowPunct/>
        <w:bidi w:val="0"/>
        <w:spacing w:line="360" w:lineRule="auto"/>
        <w:rPr>
          <w:color w:val="auto"/>
          <w:highlight w:val="none"/>
        </w:rPr>
      </w:pPr>
      <w:r>
        <w:rPr>
          <w:color w:val="auto"/>
          <w:highlight w:val="none"/>
        </w:rPr>
        <w:t xml:space="preserve">1 </w:t>
      </w:r>
      <w:r>
        <w:rPr>
          <w:rFonts w:hint="eastAsia"/>
          <w:color w:val="auto"/>
          <w:highlight w:val="none"/>
        </w:rPr>
        <w:t>设备组成</w:t>
      </w:r>
    </w:p>
    <w:p w14:paraId="211CA550">
      <w:pPr>
        <w:pStyle w:val="53"/>
        <w:kinsoku/>
        <w:overflowPunct/>
        <w:bidi w:val="0"/>
        <w:spacing w:line="360" w:lineRule="auto"/>
        <w:rPr>
          <w:color w:val="auto"/>
          <w:highlight w:val="none"/>
        </w:rPr>
      </w:pPr>
      <w:r>
        <w:rPr>
          <w:rFonts w:hint="eastAsia"/>
          <w:color w:val="auto"/>
          <w:highlight w:val="none"/>
        </w:rPr>
        <w:t>分离式霍普金森压杆主要由驱动装置、撞击杆、输杆、输出杆、吸收杆等部分组成（</w:t>
      </w: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4.4</w:t>
      </w:r>
      <w:r>
        <w:rPr>
          <w:bCs w:val="0"/>
          <w:color w:val="auto"/>
          <w:kern w:val="2"/>
          <w:szCs w:val="24"/>
          <w:highlight w:val="none"/>
        </w:rPr>
        <w:t>-1</w:t>
      </w:r>
      <w:r>
        <w:rPr>
          <w:rFonts w:hint="eastAsia"/>
          <w:color w:val="auto"/>
          <w:highlight w:val="none"/>
        </w:rPr>
        <w:t>）；数据测试系统主要由测速装置：应变计、动态应变仪、数据采集与存储装置及其连接的导线等部分组成（</w:t>
      </w: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4.4</w:t>
      </w:r>
      <w:r>
        <w:rPr>
          <w:bCs w:val="0"/>
          <w:color w:val="auto"/>
          <w:kern w:val="2"/>
          <w:szCs w:val="24"/>
          <w:highlight w:val="none"/>
        </w:rPr>
        <w:t>-1</w:t>
      </w:r>
      <w:r>
        <w:rPr>
          <w:rFonts w:hint="eastAsia"/>
          <w:color w:val="auto"/>
          <w:highlight w:val="none"/>
        </w:rPr>
        <w:t>），用于测试和记录试验过程中撞击杆速度、波导杆上的入射波、反射波和透射波信号。</w:t>
      </w:r>
    </w:p>
    <w:p w14:paraId="66ADD406">
      <w:pPr>
        <w:pStyle w:val="53"/>
        <w:kinsoku/>
        <w:overflowPunct/>
        <w:bidi w:val="0"/>
        <w:spacing w:line="360" w:lineRule="auto"/>
        <w:ind w:firstLine="0" w:firstLineChars="0"/>
        <w:jc w:val="center"/>
        <w:rPr>
          <w:color w:val="auto"/>
          <w:highlight w:val="none"/>
        </w:rPr>
      </w:pPr>
      <w:r>
        <w:rPr>
          <w:color w:val="auto"/>
          <w:highlight w:val="none"/>
        </w:rPr>
        <w:drawing>
          <wp:inline distT="0" distB="0" distL="0" distR="0">
            <wp:extent cx="5213350" cy="1474470"/>
            <wp:effectExtent l="0" t="0" r="6350" b="0"/>
            <wp:docPr id="1069522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22493" name="图片 1"/>
                    <pic:cNvPicPr>
                      <a:picLocks noChangeAspect="1"/>
                    </pic:cNvPicPr>
                  </pic:nvPicPr>
                  <pic:blipFill>
                    <a:blip r:embed="rId157"/>
                    <a:stretch>
                      <a:fillRect/>
                    </a:stretch>
                  </pic:blipFill>
                  <pic:spPr>
                    <a:xfrm>
                      <a:off x="0" y="0"/>
                      <a:ext cx="5227217" cy="1478484"/>
                    </a:xfrm>
                    <a:prstGeom prst="rect">
                      <a:avLst/>
                    </a:prstGeom>
                  </pic:spPr>
                </pic:pic>
              </a:graphicData>
            </a:graphic>
          </wp:inline>
        </w:drawing>
      </w:r>
    </w:p>
    <w:p w14:paraId="765F3D2C">
      <w:pPr>
        <w:pStyle w:val="53"/>
        <w:kinsoku/>
        <w:overflowPunct/>
        <w:bidi w:val="0"/>
        <w:spacing w:line="360" w:lineRule="auto"/>
        <w:ind w:firstLine="0" w:firstLineChars="0"/>
        <w:jc w:val="center"/>
        <w:rPr>
          <w:bCs w:val="0"/>
          <w:color w:val="auto"/>
          <w:kern w:val="2"/>
          <w:szCs w:val="24"/>
          <w:highlight w:val="none"/>
        </w:rPr>
      </w:pP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4.4-1</w:t>
      </w:r>
      <w:r>
        <w:rPr>
          <w:bCs w:val="0"/>
          <w:color w:val="auto"/>
          <w:kern w:val="2"/>
          <w:szCs w:val="24"/>
          <w:highlight w:val="none"/>
        </w:rPr>
        <w:t xml:space="preserve"> </w:t>
      </w:r>
      <w:r>
        <w:rPr>
          <w:rFonts w:hint="eastAsia"/>
          <w:bCs w:val="0"/>
          <w:color w:val="auto"/>
          <w:kern w:val="2"/>
          <w:szCs w:val="24"/>
          <w:highlight w:val="none"/>
        </w:rPr>
        <w:t>分离式霍普金森压杆试验系统示意图</w:t>
      </w:r>
    </w:p>
    <w:p w14:paraId="71C1C653">
      <w:pPr>
        <w:pStyle w:val="53"/>
        <w:kinsoku/>
        <w:overflowPunct/>
        <w:bidi w:val="0"/>
        <w:spacing w:line="360" w:lineRule="auto"/>
        <w:ind w:firstLine="270"/>
        <w:jc w:val="center"/>
        <w:rPr>
          <w:color w:val="auto"/>
          <w:sz w:val="20"/>
          <w:szCs w:val="18"/>
          <w:highlight w:val="none"/>
        </w:rPr>
      </w:pPr>
      <w:r>
        <w:rPr>
          <w:color w:val="auto"/>
          <w:sz w:val="18"/>
          <w:szCs w:val="16"/>
          <w:highlight w:val="none"/>
        </w:rPr>
        <w:t>1</w:t>
      </w:r>
      <w:r>
        <w:rPr>
          <w:rFonts w:hint="eastAsia"/>
          <w:color w:val="auto"/>
          <w:sz w:val="18"/>
          <w:szCs w:val="16"/>
          <w:highlight w:val="none"/>
        </w:rPr>
        <w:t>—驱动装置；</w:t>
      </w:r>
      <w:r>
        <w:rPr>
          <w:color w:val="auto"/>
          <w:sz w:val="18"/>
          <w:szCs w:val="16"/>
          <w:highlight w:val="none"/>
        </w:rPr>
        <w:t>2</w:t>
      </w:r>
      <w:r>
        <w:rPr>
          <w:rFonts w:hint="eastAsia"/>
          <w:color w:val="auto"/>
          <w:sz w:val="18"/>
          <w:szCs w:val="16"/>
          <w:highlight w:val="none"/>
        </w:rPr>
        <w:t>—撞击杆；</w:t>
      </w:r>
      <w:r>
        <w:rPr>
          <w:color w:val="auto"/>
          <w:sz w:val="18"/>
          <w:szCs w:val="16"/>
          <w:highlight w:val="none"/>
        </w:rPr>
        <w:t>3</w:t>
      </w:r>
      <w:r>
        <w:rPr>
          <w:rFonts w:hint="eastAsia"/>
          <w:color w:val="auto"/>
          <w:sz w:val="18"/>
          <w:szCs w:val="16"/>
          <w:highlight w:val="none"/>
        </w:rPr>
        <w:t>—测速装置；</w:t>
      </w:r>
      <w:r>
        <w:rPr>
          <w:color w:val="auto"/>
          <w:sz w:val="18"/>
          <w:szCs w:val="16"/>
          <w:highlight w:val="none"/>
        </w:rPr>
        <w:t>4</w:t>
      </w:r>
      <w:r>
        <w:rPr>
          <w:rFonts w:hint="eastAsia"/>
          <w:color w:val="auto"/>
          <w:sz w:val="18"/>
          <w:szCs w:val="16"/>
          <w:highlight w:val="none"/>
        </w:rPr>
        <w:t>—输入杆；</w:t>
      </w:r>
      <w:r>
        <w:rPr>
          <w:color w:val="auto"/>
          <w:sz w:val="18"/>
          <w:szCs w:val="16"/>
          <w:highlight w:val="none"/>
        </w:rPr>
        <w:t>5</w:t>
      </w:r>
      <w:r>
        <w:rPr>
          <w:rFonts w:hint="eastAsia"/>
          <w:color w:val="auto"/>
          <w:sz w:val="18"/>
          <w:szCs w:val="16"/>
          <w:highlight w:val="none"/>
        </w:rPr>
        <w:t>—应变计；</w:t>
      </w:r>
      <w:r>
        <w:rPr>
          <w:color w:val="auto"/>
          <w:sz w:val="18"/>
          <w:szCs w:val="16"/>
          <w:highlight w:val="none"/>
        </w:rPr>
        <w:t>6</w:t>
      </w:r>
      <w:r>
        <w:rPr>
          <w:rFonts w:hint="eastAsia"/>
          <w:color w:val="auto"/>
          <w:sz w:val="18"/>
          <w:szCs w:val="16"/>
          <w:highlight w:val="none"/>
        </w:rPr>
        <w:t>—试样；</w:t>
      </w:r>
      <w:r>
        <w:rPr>
          <w:color w:val="auto"/>
          <w:sz w:val="18"/>
          <w:szCs w:val="16"/>
          <w:highlight w:val="none"/>
        </w:rPr>
        <w:t>7</w:t>
      </w:r>
      <w:r>
        <w:rPr>
          <w:rFonts w:hint="eastAsia"/>
          <w:color w:val="auto"/>
          <w:sz w:val="18"/>
          <w:szCs w:val="16"/>
          <w:highlight w:val="none"/>
        </w:rPr>
        <w:t>—输出杆；</w:t>
      </w:r>
      <w:r>
        <w:rPr>
          <w:color w:val="auto"/>
          <w:sz w:val="18"/>
          <w:szCs w:val="16"/>
          <w:highlight w:val="none"/>
        </w:rPr>
        <w:t>8</w:t>
      </w:r>
      <w:r>
        <w:rPr>
          <w:rFonts w:hint="eastAsia"/>
          <w:color w:val="auto"/>
          <w:sz w:val="18"/>
          <w:szCs w:val="16"/>
          <w:highlight w:val="none"/>
        </w:rPr>
        <w:t>—吸收杆；</w:t>
      </w:r>
      <w:r>
        <w:rPr>
          <w:color w:val="auto"/>
          <w:sz w:val="18"/>
          <w:szCs w:val="16"/>
          <w:highlight w:val="none"/>
        </w:rPr>
        <w:t>9</w:t>
      </w:r>
      <w:r>
        <w:rPr>
          <w:rFonts w:hint="eastAsia"/>
          <w:color w:val="auto"/>
          <w:sz w:val="18"/>
          <w:szCs w:val="16"/>
          <w:highlight w:val="none"/>
        </w:rPr>
        <w:t>—阻尼器；</w:t>
      </w:r>
      <w:r>
        <w:rPr>
          <w:color w:val="auto"/>
          <w:sz w:val="18"/>
          <w:szCs w:val="16"/>
          <w:highlight w:val="none"/>
        </w:rPr>
        <w:t>10</w:t>
      </w:r>
      <w:r>
        <w:rPr>
          <w:rFonts w:hint="eastAsia"/>
          <w:color w:val="auto"/>
          <w:sz w:val="18"/>
          <w:szCs w:val="16"/>
          <w:highlight w:val="none"/>
        </w:rPr>
        <w:t>—数据采集与存储装置；</w:t>
      </w:r>
      <w:r>
        <w:rPr>
          <w:color w:val="auto"/>
          <w:sz w:val="18"/>
          <w:szCs w:val="16"/>
          <w:highlight w:val="none"/>
        </w:rPr>
        <w:t>11</w:t>
      </w:r>
      <w:r>
        <w:rPr>
          <w:rFonts w:hint="eastAsia"/>
          <w:color w:val="auto"/>
          <w:sz w:val="18"/>
          <w:szCs w:val="16"/>
          <w:highlight w:val="none"/>
        </w:rPr>
        <w:t>—动态应变仪。</w:t>
      </w:r>
    </w:p>
    <w:p w14:paraId="50367BCB">
      <w:pPr>
        <w:pStyle w:val="53"/>
        <w:kinsoku/>
        <w:overflowPunct/>
        <w:bidi w:val="0"/>
        <w:spacing w:line="360" w:lineRule="auto"/>
        <w:rPr>
          <w:color w:val="auto"/>
          <w:highlight w:val="none"/>
        </w:rPr>
      </w:pPr>
      <w:r>
        <w:rPr>
          <w:color w:val="auto"/>
          <w:highlight w:val="none"/>
        </w:rPr>
        <w:t xml:space="preserve">2 </w:t>
      </w:r>
      <w:r>
        <w:rPr>
          <w:rFonts w:hint="eastAsia"/>
          <w:color w:val="auto"/>
          <w:highlight w:val="none"/>
        </w:rPr>
        <w:t>分离式霍普金森压杆系统</w:t>
      </w:r>
    </w:p>
    <w:p w14:paraId="6E3E5CE3">
      <w:pPr>
        <w:pStyle w:val="53"/>
        <w:kinsoku/>
        <w:overflowPunct/>
        <w:bidi w:val="0"/>
        <w:spacing w:line="360" w:lineRule="auto"/>
        <w:ind w:firstLine="420" w:firstLineChars="200"/>
        <w:rPr>
          <w:color w:val="auto"/>
          <w:highlight w:val="none"/>
        </w:rPr>
      </w:pPr>
      <w:r>
        <w:rPr>
          <w:color w:val="auto"/>
          <w:highlight w:val="none"/>
        </w:rPr>
        <w:t>1</w:t>
      </w:r>
      <w:r>
        <w:rPr>
          <w:rFonts w:hint="eastAsia"/>
          <w:color w:val="auto"/>
          <w:highlight w:val="none"/>
        </w:rPr>
        <w:t>）驱动装置</w:t>
      </w:r>
    </w:p>
    <w:p w14:paraId="4EDDD004">
      <w:pPr>
        <w:pStyle w:val="53"/>
        <w:kinsoku/>
        <w:overflowPunct/>
        <w:bidi w:val="0"/>
        <w:spacing w:line="360" w:lineRule="auto"/>
        <w:ind w:firstLine="420" w:firstLineChars="200"/>
        <w:rPr>
          <w:color w:val="auto"/>
          <w:highlight w:val="none"/>
        </w:rPr>
      </w:pPr>
      <w:r>
        <w:rPr>
          <w:rFonts w:hint="eastAsia"/>
          <w:color w:val="auto"/>
          <w:highlight w:val="none"/>
        </w:rPr>
        <w:t>驱动装置对撞击杆施加初始速度，加载过程中应确保波导杆处于弹性状态，撞击杆的速度不超过式（</w:t>
      </w:r>
      <w:r>
        <w:rPr>
          <w:color w:val="auto"/>
          <w:highlight w:val="none"/>
        </w:rPr>
        <w:t>6.14.4-1</w:t>
      </w:r>
      <w:r>
        <w:rPr>
          <w:rFonts w:hint="eastAsia"/>
          <w:color w:val="auto"/>
          <w:highlight w:val="none"/>
        </w:rPr>
        <w:t>）的计算结果：</w:t>
      </w:r>
    </w:p>
    <w:p w14:paraId="2FFD4A89">
      <w:pPr>
        <w:pStyle w:val="53"/>
        <w:kinsoku/>
        <w:overflowPunct/>
        <w:bidi w:val="0"/>
        <w:spacing w:line="360" w:lineRule="auto"/>
        <w:ind w:firstLine="420" w:firstLineChars="200"/>
        <w:jc w:val="right"/>
        <w:rPr>
          <w:color w:val="auto"/>
          <w:highlight w:val="none"/>
        </w:rPr>
      </w:pPr>
      <w:r>
        <w:rPr>
          <w:color w:val="auto"/>
          <w:position w:val="-30"/>
          <w:highlight w:val="none"/>
        </w:rPr>
        <w:object>
          <v:shape id="_x0000_i1084" o:spt="75" type="#_x0000_t75" style="height:34.25pt;width:63.05pt;" o:ole="t" filled="f" o:preferrelative="t" stroked="f" coordsize="21600,21600">
            <v:path/>
            <v:fill on="f" focussize="0,0"/>
            <v:stroke on="f" joinstyle="miter"/>
            <v:imagedata r:id="rId159" o:title=""/>
            <o:lock v:ext="edit" aspectratio="t"/>
            <w10:wrap type="none"/>
            <w10:anchorlock/>
          </v:shape>
          <o:OLEObject Type="Embed" ProgID="Equation.DSMT4" ShapeID="_x0000_i1084" DrawAspect="Content" ObjectID="_1468075784" r:id="rId158">
            <o:LockedField>false</o:LockedField>
          </o:OLEObject>
        </w:object>
      </w:r>
      <w:r>
        <w:rPr>
          <w:color w:val="auto"/>
          <w:highlight w:val="none"/>
        </w:rPr>
        <w:t xml:space="preserve">                           </w:t>
      </w:r>
      <w:r>
        <w:rPr>
          <w:rFonts w:hint="eastAsia"/>
          <w:color w:val="auto"/>
          <w:highlight w:val="none"/>
        </w:rPr>
        <w:t>（</w:t>
      </w:r>
      <w:r>
        <w:rPr>
          <w:color w:val="auto"/>
          <w:highlight w:val="none"/>
        </w:rPr>
        <w:t>6.14.4-1</w:t>
      </w:r>
      <w:r>
        <w:rPr>
          <w:rFonts w:hint="eastAsia"/>
          <w:color w:val="auto"/>
          <w:highlight w:val="none"/>
        </w:rPr>
        <w:t>）</w:t>
      </w:r>
    </w:p>
    <w:p w14:paraId="648C5DE2">
      <w:pPr>
        <w:pStyle w:val="53"/>
        <w:kinsoku/>
        <w:overflowPunct/>
        <w:bidi w:val="0"/>
        <w:spacing w:line="360" w:lineRule="auto"/>
        <w:ind w:firstLine="360" w:firstLineChars="200"/>
        <w:rPr>
          <w:color w:val="auto"/>
          <w:sz w:val="20"/>
          <w:szCs w:val="18"/>
          <w:highlight w:val="none"/>
        </w:rPr>
      </w:pPr>
      <w:r>
        <w:rPr>
          <w:rFonts w:hint="eastAsia"/>
          <w:color w:val="auto"/>
          <w:sz w:val="18"/>
          <w:szCs w:val="16"/>
          <w:highlight w:val="none"/>
        </w:rPr>
        <w:t>注：撞击杆最小速度应保证试样产生塑性变形。</w:t>
      </w:r>
    </w:p>
    <w:p w14:paraId="136F530C">
      <w:pPr>
        <w:pStyle w:val="53"/>
        <w:kinsoku/>
        <w:overflowPunct/>
        <w:bidi w:val="0"/>
        <w:spacing w:line="360" w:lineRule="auto"/>
        <w:ind w:firstLine="420" w:firstLineChars="200"/>
        <w:rPr>
          <w:color w:val="auto"/>
          <w:highlight w:val="none"/>
        </w:rPr>
      </w:pPr>
      <w:r>
        <w:rPr>
          <w:color w:val="auto"/>
          <w:highlight w:val="none"/>
        </w:rPr>
        <w:t>2</w:t>
      </w:r>
      <w:r>
        <w:rPr>
          <w:rFonts w:hint="eastAsia"/>
          <w:color w:val="auto"/>
          <w:highlight w:val="none"/>
        </w:rPr>
        <w:t>）波导杆与撞击杆</w:t>
      </w:r>
    </w:p>
    <w:p w14:paraId="30D1BA2B">
      <w:pPr>
        <w:pStyle w:val="53"/>
        <w:kinsoku/>
        <w:overflowPunct/>
        <w:bidi w:val="0"/>
        <w:spacing w:line="360" w:lineRule="auto"/>
        <w:ind w:firstLine="420" w:firstLineChars="200"/>
        <w:rPr>
          <w:color w:val="auto"/>
          <w:highlight w:val="none"/>
        </w:rPr>
      </w:pPr>
      <w:r>
        <w:rPr>
          <w:rFonts w:hint="eastAsia"/>
          <w:color w:val="auto"/>
          <w:highlight w:val="none"/>
        </w:rPr>
        <w:t>①波导杆</w:t>
      </w:r>
    </w:p>
    <w:p w14:paraId="78DFD00B">
      <w:pPr>
        <w:pStyle w:val="53"/>
        <w:kinsoku/>
        <w:overflowPunct/>
        <w:bidi w:val="0"/>
        <w:spacing w:line="360" w:lineRule="auto"/>
        <w:ind w:firstLine="420" w:firstLineChars="200"/>
        <w:rPr>
          <w:color w:val="auto"/>
          <w:highlight w:val="none"/>
        </w:rPr>
      </w:pPr>
      <w:r>
        <w:rPr>
          <w:rFonts w:hint="eastAsia"/>
          <w:color w:val="auto"/>
          <w:highlight w:val="none"/>
        </w:rPr>
        <w:t>输入杆和输出杆应采用高强度材料，其直径应相同；波导杆直径宜略大于试件直径，以避免试验后试样直径超过波导杆直径导致测试异常；长度可不同，且波导杆的长径比不宜小于</w:t>
      </w:r>
      <w:r>
        <w:rPr>
          <w:color w:val="auto"/>
          <w:highlight w:val="none"/>
        </w:rPr>
        <w:t>40</w:t>
      </w:r>
      <w:r>
        <w:rPr>
          <w:rFonts w:hint="eastAsia"/>
          <w:color w:val="auto"/>
          <w:highlight w:val="none"/>
        </w:rPr>
        <w:t>。</w:t>
      </w:r>
    </w:p>
    <w:p w14:paraId="63A2E4C1">
      <w:pPr>
        <w:pStyle w:val="53"/>
        <w:kinsoku/>
        <w:overflowPunct/>
        <w:bidi w:val="0"/>
        <w:spacing w:line="360" w:lineRule="auto"/>
        <w:ind w:firstLine="420" w:firstLineChars="200"/>
        <w:rPr>
          <w:color w:val="auto"/>
          <w:highlight w:val="none"/>
        </w:rPr>
      </w:pPr>
      <w:r>
        <w:rPr>
          <w:rFonts w:hint="eastAsia"/>
          <w:color w:val="auto"/>
          <w:highlight w:val="none"/>
        </w:rPr>
        <w:t>波导杆应符合</w:t>
      </w: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4.4-2</w:t>
      </w:r>
      <w:r>
        <w:rPr>
          <w:rFonts w:hint="eastAsia"/>
          <w:color w:val="auto"/>
          <w:highlight w:val="none"/>
        </w:rPr>
        <w:t>的要求。</w:t>
      </w:r>
    </w:p>
    <w:p w14:paraId="007E2BEB">
      <w:pPr>
        <w:pStyle w:val="53"/>
        <w:kinsoku/>
        <w:overflowPunct/>
        <w:bidi w:val="0"/>
        <w:spacing w:line="360" w:lineRule="auto"/>
        <w:ind w:firstLine="0" w:firstLineChars="0"/>
        <w:jc w:val="center"/>
        <w:rPr>
          <w:color w:val="auto"/>
          <w:highlight w:val="none"/>
        </w:rPr>
      </w:pPr>
      <w:r>
        <w:rPr>
          <w:color w:val="auto"/>
          <w:highlight w:val="none"/>
        </w:rPr>
        <w:drawing>
          <wp:inline distT="0" distB="0" distL="0" distR="0">
            <wp:extent cx="3848100" cy="1566545"/>
            <wp:effectExtent l="0" t="0" r="0" b="0"/>
            <wp:docPr id="1534695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95007" name="图片 1"/>
                    <pic:cNvPicPr>
                      <a:picLocks noChangeAspect="1"/>
                    </pic:cNvPicPr>
                  </pic:nvPicPr>
                  <pic:blipFill>
                    <a:blip r:embed="rId160"/>
                    <a:stretch>
                      <a:fillRect/>
                    </a:stretch>
                  </pic:blipFill>
                  <pic:spPr>
                    <a:xfrm>
                      <a:off x="0" y="0"/>
                      <a:ext cx="3871652" cy="1576390"/>
                    </a:xfrm>
                    <a:prstGeom prst="rect">
                      <a:avLst/>
                    </a:prstGeom>
                  </pic:spPr>
                </pic:pic>
              </a:graphicData>
            </a:graphic>
          </wp:inline>
        </w:drawing>
      </w:r>
    </w:p>
    <w:p w14:paraId="79CAA89A">
      <w:pPr>
        <w:pStyle w:val="53"/>
        <w:kinsoku/>
        <w:overflowPunct/>
        <w:bidi w:val="0"/>
        <w:spacing w:line="360" w:lineRule="auto"/>
        <w:ind w:firstLine="0" w:firstLineChars="0"/>
        <w:jc w:val="center"/>
        <w:rPr>
          <w:bCs w:val="0"/>
          <w:color w:val="auto"/>
          <w:kern w:val="2"/>
          <w:szCs w:val="24"/>
          <w:highlight w:val="none"/>
        </w:rPr>
      </w:pP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4.4-2</w:t>
      </w:r>
      <w:r>
        <w:rPr>
          <w:bCs w:val="0"/>
          <w:color w:val="auto"/>
          <w:kern w:val="2"/>
          <w:szCs w:val="24"/>
          <w:highlight w:val="none"/>
        </w:rPr>
        <w:t xml:space="preserve"> </w:t>
      </w:r>
      <w:r>
        <w:rPr>
          <w:rFonts w:hint="eastAsia"/>
          <w:bCs w:val="0"/>
          <w:color w:val="auto"/>
          <w:kern w:val="2"/>
          <w:szCs w:val="24"/>
          <w:highlight w:val="none"/>
        </w:rPr>
        <w:t>波导杆的形状和加工要求</w:t>
      </w:r>
    </w:p>
    <w:p w14:paraId="7E91F79E">
      <w:pPr>
        <w:pStyle w:val="53"/>
        <w:kinsoku/>
        <w:overflowPunct/>
        <w:bidi w:val="0"/>
        <w:spacing w:line="360" w:lineRule="auto"/>
        <w:ind w:firstLine="420" w:firstLineChars="200"/>
        <w:rPr>
          <w:color w:val="auto"/>
          <w:highlight w:val="none"/>
        </w:rPr>
      </w:pPr>
      <w:r>
        <w:rPr>
          <w:rFonts w:hint="eastAsia"/>
          <w:color w:val="auto"/>
          <w:highlight w:val="none"/>
        </w:rPr>
        <w:t>②撞击杆</w:t>
      </w:r>
    </w:p>
    <w:p w14:paraId="05E32E37">
      <w:pPr>
        <w:pStyle w:val="53"/>
        <w:kinsoku/>
        <w:overflowPunct/>
        <w:bidi w:val="0"/>
        <w:spacing w:line="360" w:lineRule="auto"/>
        <w:ind w:firstLine="420" w:firstLineChars="200"/>
        <w:rPr>
          <w:color w:val="auto"/>
          <w:highlight w:val="none"/>
        </w:rPr>
      </w:pPr>
      <w:r>
        <w:rPr>
          <w:rFonts w:hint="eastAsia"/>
          <w:color w:val="auto"/>
          <w:highlight w:val="none"/>
        </w:rPr>
        <w:t>撞击杆材料、直径与波导杆相同，长度宜大于其</w:t>
      </w:r>
      <w:r>
        <w:rPr>
          <w:color w:val="auto"/>
          <w:highlight w:val="none"/>
        </w:rPr>
        <w:t>10</w:t>
      </w:r>
      <w:r>
        <w:rPr>
          <w:rFonts w:hint="eastAsia"/>
          <w:color w:val="auto"/>
          <w:highlight w:val="none"/>
        </w:rPr>
        <w:t>倍直径，并小于</w:t>
      </w:r>
      <w:r>
        <w:rPr>
          <w:color w:val="auto"/>
          <w:highlight w:val="none"/>
        </w:rPr>
        <w:t>0.5</w:t>
      </w:r>
      <w:r>
        <w:rPr>
          <w:rFonts w:hint="eastAsia"/>
          <w:color w:val="auto"/>
          <w:highlight w:val="none"/>
        </w:rPr>
        <w:t>倍波导杆长度，加工精度见</w:t>
      </w: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4.4-2</w:t>
      </w:r>
      <w:r>
        <w:rPr>
          <w:rFonts w:hint="eastAsia"/>
          <w:color w:val="auto"/>
          <w:highlight w:val="none"/>
        </w:rPr>
        <w:t>。</w:t>
      </w:r>
    </w:p>
    <w:p w14:paraId="129D36A4">
      <w:pPr>
        <w:pStyle w:val="53"/>
        <w:kinsoku/>
        <w:overflowPunct/>
        <w:bidi w:val="0"/>
        <w:spacing w:line="360" w:lineRule="auto"/>
        <w:rPr>
          <w:color w:val="auto"/>
          <w:highlight w:val="none"/>
        </w:rPr>
      </w:pPr>
      <w:r>
        <w:rPr>
          <w:color w:val="auto"/>
          <w:highlight w:val="none"/>
        </w:rPr>
        <w:t xml:space="preserve">3 </w:t>
      </w:r>
      <w:r>
        <w:rPr>
          <w:rFonts w:hint="eastAsia"/>
          <w:color w:val="auto"/>
          <w:highlight w:val="none"/>
        </w:rPr>
        <w:t>数据测试系统</w:t>
      </w:r>
    </w:p>
    <w:p w14:paraId="01DBD396">
      <w:pPr>
        <w:pStyle w:val="53"/>
        <w:kinsoku/>
        <w:overflowPunct/>
        <w:bidi w:val="0"/>
        <w:spacing w:line="360" w:lineRule="auto"/>
        <w:ind w:firstLine="525" w:firstLineChars="250"/>
        <w:rPr>
          <w:color w:val="auto"/>
          <w:highlight w:val="none"/>
        </w:rPr>
      </w:pPr>
      <w:r>
        <w:rPr>
          <w:color w:val="auto"/>
          <w:highlight w:val="none"/>
        </w:rPr>
        <w:t>1</w:t>
      </w:r>
      <w:r>
        <w:rPr>
          <w:rFonts w:hint="eastAsia"/>
          <w:color w:val="auto"/>
          <w:highlight w:val="none"/>
        </w:rPr>
        <w:t>）数据测试系统的组建</w:t>
      </w:r>
    </w:p>
    <w:p w14:paraId="0C18F0D6">
      <w:pPr>
        <w:pStyle w:val="53"/>
        <w:kinsoku/>
        <w:overflowPunct/>
        <w:bidi w:val="0"/>
        <w:spacing w:line="360" w:lineRule="auto"/>
        <w:ind w:firstLine="525" w:firstLineChars="250"/>
        <w:rPr>
          <w:color w:val="auto"/>
          <w:highlight w:val="none"/>
        </w:rPr>
      </w:pPr>
      <w:r>
        <w:rPr>
          <w:rFonts w:hint="eastAsia"/>
          <w:color w:val="auto"/>
          <w:highlight w:val="none"/>
        </w:rPr>
        <w:t>数据测试系统宜采用惠更斯电路组成桥式数据测试系统（</w:t>
      </w: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4.4-3</w:t>
      </w:r>
      <w:r>
        <w:rPr>
          <w:rFonts w:hint="eastAsia"/>
          <w:color w:val="auto"/>
          <w:highlight w:val="none"/>
        </w:rPr>
        <w:t>）。宜同时在与波导杆材料相同的金属块上粘贴相同的应变计作为温度补偿。</w:t>
      </w:r>
    </w:p>
    <w:p w14:paraId="4B3D0A8C">
      <w:pPr>
        <w:pStyle w:val="53"/>
        <w:kinsoku/>
        <w:overflowPunct/>
        <w:bidi w:val="0"/>
        <w:spacing w:line="360" w:lineRule="auto"/>
        <w:ind w:firstLine="0" w:firstLineChars="0"/>
        <w:jc w:val="center"/>
        <w:rPr>
          <w:color w:val="auto"/>
          <w:highlight w:val="none"/>
        </w:rPr>
      </w:pPr>
      <w:r>
        <w:rPr>
          <w:color w:val="auto"/>
          <w:highlight w:val="none"/>
        </w:rPr>
        <w:drawing>
          <wp:inline distT="0" distB="0" distL="0" distR="0">
            <wp:extent cx="3746500" cy="1627505"/>
            <wp:effectExtent l="0" t="0" r="6350" b="0"/>
            <wp:docPr id="2083667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67641" name="图片 1"/>
                    <pic:cNvPicPr>
                      <a:picLocks noChangeAspect="1"/>
                    </pic:cNvPicPr>
                  </pic:nvPicPr>
                  <pic:blipFill>
                    <a:blip r:embed="rId161"/>
                    <a:stretch>
                      <a:fillRect/>
                    </a:stretch>
                  </pic:blipFill>
                  <pic:spPr>
                    <a:xfrm>
                      <a:off x="0" y="0"/>
                      <a:ext cx="3768143" cy="1636957"/>
                    </a:xfrm>
                    <a:prstGeom prst="rect">
                      <a:avLst/>
                    </a:prstGeom>
                  </pic:spPr>
                </pic:pic>
              </a:graphicData>
            </a:graphic>
          </wp:inline>
        </w:drawing>
      </w:r>
    </w:p>
    <w:p w14:paraId="0878AFC3">
      <w:pPr>
        <w:pStyle w:val="53"/>
        <w:kinsoku/>
        <w:overflowPunct/>
        <w:bidi w:val="0"/>
        <w:spacing w:line="360" w:lineRule="auto"/>
        <w:ind w:firstLine="0" w:firstLineChars="0"/>
        <w:jc w:val="center"/>
        <w:rPr>
          <w:bCs w:val="0"/>
          <w:color w:val="auto"/>
          <w:kern w:val="2"/>
          <w:szCs w:val="24"/>
          <w:highlight w:val="none"/>
        </w:rPr>
      </w:pP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4.4-3</w:t>
      </w:r>
      <w:r>
        <w:rPr>
          <w:bCs w:val="0"/>
          <w:color w:val="auto"/>
          <w:kern w:val="2"/>
          <w:szCs w:val="24"/>
          <w:highlight w:val="none"/>
        </w:rPr>
        <w:t xml:space="preserve"> </w:t>
      </w:r>
      <w:r>
        <w:rPr>
          <w:rFonts w:hint="eastAsia"/>
          <w:bCs w:val="0"/>
          <w:color w:val="auto"/>
          <w:kern w:val="2"/>
          <w:szCs w:val="24"/>
          <w:highlight w:val="none"/>
        </w:rPr>
        <w:t>桥式测试电路框图</w:t>
      </w:r>
    </w:p>
    <w:p w14:paraId="3893546F">
      <w:pPr>
        <w:pStyle w:val="53"/>
        <w:kinsoku/>
        <w:overflowPunct/>
        <w:bidi w:val="0"/>
        <w:spacing w:line="360" w:lineRule="auto"/>
        <w:ind w:firstLine="0" w:firstLineChars="0"/>
        <w:jc w:val="center"/>
        <w:rPr>
          <w:color w:val="auto"/>
          <w:highlight w:val="none"/>
        </w:rPr>
      </w:pPr>
      <w:r>
        <w:rPr>
          <w:color w:val="auto"/>
          <w:sz w:val="18"/>
          <w:szCs w:val="16"/>
          <w:highlight w:val="none"/>
        </w:rPr>
        <w:t>1</w:t>
      </w:r>
      <w:r>
        <w:rPr>
          <w:rFonts w:hint="eastAsia"/>
          <w:color w:val="auto"/>
          <w:sz w:val="18"/>
          <w:szCs w:val="16"/>
          <w:highlight w:val="none"/>
        </w:rPr>
        <w:t>—工作应变计；</w:t>
      </w:r>
      <w:r>
        <w:rPr>
          <w:color w:val="auto"/>
          <w:sz w:val="18"/>
          <w:szCs w:val="16"/>
          <w:highlight w:val="none"/>
        </w:rPr>
        <w:t>2</w:t>
      </w:r>
      <w:r>
        <w:rPr>
          <w:rFonts w:hint="eastAsia"/>
          <w:color w:val="auto"/>
          <w:sz w:val="18"/>
          <w:szCs w:val="16"/>
          <w:highlight w:val="none"/>
        </w:rPr>
        <w:t>—温度补偿应变计；</w:t>
      </w:r>
      <w:r>
        <w:rPr>
          <w:color w:val="auto"/>
          <w:sz w:val="18"/>
          <w:szCs w:val="16"/>
          <w:highlight w:val="none"/>
        </w:rPr>
        <w:t>3</w:t>
      </w:r>
      <w:r>
        <w:rPr>
          <w:rFonts w:hint="eastAsia"/>
          <w:color w:val="auto"/>
          <w:sz w:val="18"/>
          <w:szCs w:val="16"/>
          <w:highlight w:val="none"/>
        </w:rPr>
        <w:t>—标准电阻；</w:t>
      </w:r>
      <w:r>
        <w:rPr>
          <w:color w:val="auto"/>
          <w:sz w:val="18"/>
          <w:szCs w:val="16"/>
          <w:highlight w:val="none"/>
        </w:rPr>
        <w:t>4</w:t>
      </w:r>
      <w:r>
        <w:rPr>
          <w:rFonts w:hint="eastAsia"/>
          <w:color w:val="auto"/>
          <w:sz w:val="18"/>
          <w:szCs w:val="16"/>
          <w:highlight w:val="none"/>
        </w:rPr>
        <w:t>—动态应变仪；</w:t>
      </w:r>
      <w:r>
        <w:rPr>
          <w:color w:val="auto"/>
          <w:sz w:val="18"/>
          <w:szCs w:val="16"/>
          <w:highlight w:val="none"/>
        </w:rPr>
        <w:t>5</w:t>
      </w:r>
      <w:r>
        <w:rPr>
          <w:rFonts w:hint="eastAsia"/>
          <w:color w:val="auto"/>
          <w:sz w:val="18"/>
          <w:szCs w:val="16"/>
          <w:highlight w:val="none"/>
        </w:rPr>
        <w:t>—数据采集与存储装置。</w:t>
      </w:r>
    </w:p>
    <w:p w14:paraId="67BFD6C0">
      <w:pPr>
        <w:pStyle w:val="53"/>
        <w:kinsoku/>
        <w:overflowPunct/>
        <w:bidi w:val="0"/>
        <w:spacing w:line="360" w:lineRule="auto"/>
        <w:ind w:firstLine="525" w:firstLineChars="250"/>
        <w:rPr>
          <w:color w:val="auto"/>
          <w:highlight w:val="none"/>
        </w:rPr>
      </w:pPr>
      <w:r>
        <w:rPr>
          <w:color w:val="auto"/>
          <w:highlight w:val="none"/>
        </w:rPr>
        <w:t>2</w:t>
      </w:r>
      <w:r>
        <w:rPr>
          <w:rFonts w:hint="eastAsia"/>
          <w:color w:val="auto"/>
          <w:highlight w:val="none"/>
        </w:rPr>
        <w:t>）应变计</w:t>
      </w:r>
    </w:p>
    <w:p w14:paraId="34763D57">
      <w:pPr>
        <w:pStyle w:val="53"/>
        <w:kinsoku/>
        <w:overflowPunct/>
        <w:bidi w:val="0"/>
        <w:spacing w:line="360" w:lineRule="auto"/>
        <w:ind w:firstLine="525" w:firstLineChars="250"/>
        <w:rPr>
          <w:color w:val="auto"/>
          <w:highlight w:val="none"/>
        </w:rPr>
      </w:pPr>
      <w:r>
        <w:rPr>
          <w:rFonts w:hint="eastAsia"/>
          <w:color w:val="auto"/>
          <w:highlight w:val="none"/>
        </w:rPr>
        <w:t>应按</w:t>
      </w:r>
      <w:r>
        <w:rPr>
          <w:color w:val="auto"/>
          <w:highlight w:val="none"/>
        </w:rPr>
        <w:t>GB/T</w:t>
      </w:r>
      <w:r>
        <w:rPr>
          <w:rFonts w:hint="eastAsia"/>
          <w:color w:val="auto"/>
          <w:highlight w:val="none"/>
        </w:rPr>
        <w:t xml:space="preserve"> </w:t>
      </w:r>
      <w:r>
        <w:rPr>
          <w:color w:val="auto"/>
          <w:highlight w:val="none"/>
        </w:rPr>
        <w:t>13992</w:t>
      </w:r>
      <w:r>
        <w:rPr>
          <w:rFonts w:hint="eastAsia"/>
          <w:color w:val="auto"/>
          <w:highlight w:val="none"/>
        </w:rPr>
        <w:t>和下列要求选择和使用应变计：</w:t>
      </w:r>
    </w:p>
    <w:p w14:paraId="6535484F">
      <w:pPr>
        <w:pStyle w:val="53"/>
        <w:kinsoku/>
        <w:overflowPunct/>
        <w:bidi w:val="0"/>
        <w:spacing w:line="360" w:lineRule="auto"/>
        <w:ind w:firstLine="525" w:firstLineChars="250"/>
        <w:rPr>
          <w:color w:val="auto"/>
          <w:highlight w:val="none"/>
        </w:rPr>
      </w:pPr>
      <w:r>
        <w:rPr>
          <w:rFonts w:hint="eastAsia"/>
          <w:color w:val="auto"/>
          <w:highlight w:val="none"/>
        </w:rPr>
        <w:t>①应变计极限响应频率应不低于</w:t>
      </w:r>
      <w:r>
        <w:rPr>
          <w:color w:val="auto"/>
          <w:highlight w:val="none"/>
        </w:rPr>
        <w:t>120kHz</w:t>
      </w:r>
      <w:r>
        <w:rPr>
          <w:rFonts w:hint="eastAsia"/>
          <w:color w:val="auto"/>
          <w:highlight w:val="none"/>
        </w:rPr>
        <w:t>，推荐不低于</w:t>
      </w:r>
      <w:r>
        <w:rPr>
          <w:color w:val="auto"/>
          <w:highlight w:val="none"/>
        </w:rPr>
        <w:t>300kHz</w:t>
      </w:r>
      <w:r>
        <w:rPr>
          <w:rFonts w:hint="eastAsia"/>
          <w:color w:val="auto"/>
          <w:highlight w:val="none"/>
        </w:rPr>
        <w:t>；</w:t>
      </w:r>
    </w:p>
    <w:p w14:paraId="46CEE8D9">
      <w:pPr>
        <w:pStyle w:val="53"/>
        <w:kinsoku/>
        <w:overflowPunct/>
        <w:bidi w:val="0"/>
        <w:spacing w:line="360" w:lineRule="auto"/>
        <w:ind w:firstLine="525" w:firstLineChars="250"/>
        <w:rPr>
          <w:color w:val="auto"/>
          <w:highlight w:val="none"/>
        </w:rPr>
      </w:pPr>
      <w:r>
        <w:rPr>
          <w:rFonts w:hint="eastAsia"/>
          <w:color w:val="auto"/>
          <w:highlight w:val="none"/>
        </w:rPr>
        <w:t>②根据波导杆直径确定应变计的栅长，栅长应不大于</w:t>
      </w:r>
      <w:r>
        <w:rPr>
          <w:color w:val="auto"/>
          <w:highlight w:val="none"/>
        </w:rPr>
        <w:t>5mm</w:t>
      </w:r>
      <w:r>
        <w:rPr>
          <w:rFonts w:hint="eastAsia"/>
          <w:color w:val="auto"/>
          <w:highlight w:val="none"/>
        </w:rPr>
        <w:t>；</w:t>
      </w:r>
    </w:p>
    <w:p w14:paraId="0AC7B450">
      <w:pPr>
        <w:pStyle w:val="53"/>
        <w:kinsoku/>
        <w:overflowPunct/>
        <w:bidi w:val="0"/>
        <w:spacing w:line="360" w:lineRule="auto"/>
        <w:ind w:firstLine="525" w:firstLineChars="250"/>
        <w:rPr>
          <w:color w:val="auto"/>
          <w:highlight w:val="none"/>
        </w:rPr>
      </w:pPr>
      <w:r>
        <w:rPr>
          <w:rFonts w:hint="eastAsia"/>
          <w:color w:val="auto"/>
          <w:highlight w:val="none"/>
        </w:rPr>
        <w:t>③宜采用两个应变计在波导杆的同一轴向位置对称贴片；</w:t>
      </w:r>
    </w:p>
    <w:p w14:paraId="2A5D0E9F">
      <w:pPr>
        <w:pStyle w:val="53"/>
        <w:kinsoku/>
        <w:overflowPunct/>
        <w:bidi w:val="0"/>
        <w:spacing w:line="360" w:lineRule="auto"/>
        <w:ind w:firstLine="525" w:firstLineChars="250"/>
        <w:rPr>
          <w:color w:val="auto"/>
          <w:highlight w:val="none"/>
        </w:rPr>
      </w:pPr>
      <w:r>
        <w:rPr>
          <w:rFonts w:hint="eastAsia"/>
          <w:color w:val="auto"/>
          <w:highlight w:val="none"/>
        </w:rPr>
        <w:t>④应变计的敏感栅方向与波导杆轴向平行；</w:t>
      </w:r>
    </w:p>
    <w:p w14:paraId="07E88B92">
      <w:pPr>
        <w:pStyle w:val="53"/>
        <w:kinsoku/>
        <w:overflowPunct/>
        <w:bidi w:val="0"/>
        <w:spacing w:line="360" w:lineRule="auto"/>
        <w:ind w:firstLine="525" w:firstLineChars="250"/>
        <w:rPr>
          <w:color w:val="auto"/>
          <w:highlight w:val="none"/>
        </w:rPr>
      </w:pPr>
      <w:r>
        <w:rPr>
          <w:rFonts w:hint="eastAsia"/>
          <w:color w:val="auto"/>
          <w:highlight w:val="none"/>
        </w:rPr>
        <w:t>⑤输入杆、输出杆上应变计应粘贴在靠试样一端，且大于</w:t>
      </w:r>
      <w:r>
        <w:rPr>
          <w:color w:val="auto"/>
          <w:highlight w:val="none"/>
        </w:rPr>
        <w:t>1</w:t>
      </w:r>
      <w:r>
        <w:rPr>
          <w:rFonts w:hint="eastAsia"/>
          <w:color w:val="auto"/>
          <w:highlight w:val="none"/>
        </w:rPr>
        <w:t>倍撞击杆长度处，推荐将应变计置于波导杆中部。</w:t>
      </w:r>
    </w:p>
    <w:p w14:paraId="18D5165A">
      <w:pPr>
        <w:pStyle w:val="53"/>
        <w:kinsoku/>
        <w:overflowPunct/>
        <w:bidi w:val="0"/>
        <w:spacing w:line="360" w:lineRule="auto"/>
        <w:ind w:firstLine="525" w:firstLineChars="250"/>
        <w:rPr>
          <w:color w:val="auto"/>
          <w:highlight w:val="none"/>
        </w:rPr>
      </w:pPr>
      <w:r>
        <w:rPr>
          <w:color w:val="auto"/>
          <w:highlight w:val="none"/>
        </w:rPr>
        <w:t>3</w:t>
      </w:r>
      <w:r>
        <w:rPr>
          <w:rFonts w:hint="eastAsia"/>
          <w:color w:val="auto"/>
          <w:highlight w:val="none"/>
        </w:rPr>
        <w:t>）动态应变仪</w:t>
      </w:r>
    </w:p>
    <w:p w14:paraId="273816FA">
      <w:pPr>
        <w:pStyle w:val="53"/>
        <w:kinsoku/>
        <w:overflowPunct/>
        <w:bidi w:val="0"/>
        <w:spacing w:line="360" w:lineRule="auto"/>
        <w:ind w:firstLine="525" w:firstLineChars="250"/>
        <w:rPr>
          <w:color w:val="auto"/>
          <w:highlight w:val="none"/>
        </w:rPr>
      </w:pPr>
      <w:r>
        <w:rPr>
          <w:rFonts w:hint="eastAsia"/>
          <w:color w:val="auto"/>
          <w:highlight w:val="none"/>
        </w:rPr>
        <w:t>应按</w:t>
      </w:r>
      <w:r>
        <w:rPr>
          <w:color w:val="auto"/>
          <w:highlight w:val="none"/>
        </w:rPr>
        <w:t>JJG 623</w:t>
      </w:r>
      <w:r>
        <w:rPr>
          <w:rFonts w:hint="eastAsia"/>
          <w:color w:val="auto"/>
          <w:highlight w:val="none"/>
        </w:rPr>
        <w:t>的要求，通道数应大于2，信噪比应不小于40dB，灵敏度（桥压2V）应不低于0.1V/100</w:t>
      </w:r>
      <w:r>
        <w:rPr>
          <w:color w:val="auto"/>
          <w:highlight w:val="none"/>
        </w:rPr>
        <w:t>με</w:t>
      </w:r>
      <w:r>
        <w:rPr>
          <w:rFonts w:hint="eastAsia"/>
          <w:color w:val="auto"/>
          <w:highlight w:val="none"/>
        </w:rPr>
        <w:t>，动态应变仪的频响应高于</w:t>
      </w:r>
      <w:r>
        <w:rPr>
          <w:color w:val="auto"/>
          <w:highlight w:val="none"/>
        </w:rPr>
        <w:t>120kHz</w:t>
      </w:r>
      <w:r>
        <w:rPr>
          <w:rFonts w:hint="eastAsia"/>
          <w:color w:val="auto"/>
          <w:highlight w:val="none"/>
        </w:rPr>
        <w:t>，推荐不低于</w:t>
      </w:r>
      <w:r>
        <w:rPr>
          <w:color w:val="auto"/>
          <w:highlight w:val="none"/>
        </w:rPr>
        <w:t>500kHz</w:t>
      </w:r>
      <w:r>
        <w:rPr>
          <w:rFonts w:hint="eastAsia"/>
          <w:color w:val="auto"/>
          <w:highlight w:val="none"/>
        </w:rPr>
        <w:t>。</w:t>
      </w:r>
    </w:p>
    <w:p w14:paraId="2F0E6E4B">
      <w:pPr>
        <w:pStyle w:val="53"/>
        <w:kinsoku/>
        <w:overflowPunct/>
        <w:bidi w:val="0"/>
        <w:spacing w:line="360" w:lineRule="auto"/>
        <w:ind w:firstLine="525" w:firstLineChars="250"/>
        <w:rPr>
          <w:color w:val="auto"/>
          <w:highlight w:val="none"/>
        </w:rPr>
      </w:pPr>
      <w:r>
        <w:rPr>
          <w:color w:val="auto"/>
          <w:highlight w:val="none"/>
        </w:rPr>
        <w:t>4</w:t>
      </w:r>
      <w:r>
        <w:rPr>
          <w:rFonts w:hint="eastAsia"/>
          <w:color w:val="auto"/>
          <w:highlight w:val="none"/>
        </w:rPr>
        <w:t>）数据采集系统</w:t>
      </w:r>
    </w:p>
    <w:p w14:paraId="341688F5">
      <w:pPr>
        <w:pStyle w:val="53"/>
        <w:kinsoku/>
        <w:overflowPunct/>
        <w:bidi w:val="0"/>
        <w:spacing w:line="360" w:lineRule="auto"/>
        <w:ind w:firstLine="525" w:firstLineChars="250"/>
        <w:rPr>
          <w:color w:val="auto"/>
          <w:highlight w:val="none"/>
        </w:rPr>
      </w:pPr>
      <w:r>
        <w:rPr>
          <w:rFonts w:hint="eastAsia"/>
          <w:color w:val="auto"/>
          <w:highlight w:val="none"/>
        </w:rPr>
        <w:t>通道数应大于2，采样频率应不小于</w:t>
      </w:r>
      <w:r>
        <w:rPr>
          <w:color w:val="auto"/>
          <w:highlight w:val="none"/>
        </w:rPr>
        <w:t>240kHz</w:t>
      </w:r>
      <w:r>
        <w:rPr>
          <w:rFonts w:hint="eastAsia"/>
          <w:color w:val="auto"/>
          <w:highlight w:val="none"/>
        </w:rPr>
        <w:t>，推荐采用</w:t>
      </w:r>
      <w:r>
        <w:rPr>
          <w:color w:val="auto"/>
          <w:highlight w:val="none"/>
        </w:rPr>
        <w:t>1MHz</w:t>
      </w:r>
      <w:r>
        <w:rPr>
          <w:rFonts w:hint="eastAsia"/>
          <w:color w:val="auto"/>
          <w:highlight w:val="none"/>
        </w:rPr>
        <w:t>。</w:t>
      </w:r>
    </w:p>
    <w:p w14:paraId="11FC1CDB">
      <w:pPr>
        <w:pStyle w:val="53"/>
        <w:kinsoku/>
        <w:overflowPunct/>
        <w:bidi w:val="0"/>
        <w:spacing w:line="360" w:lineRule="auto"/>
        <w:ind w:firstLine="525" w:firstLineChars="250"/>
        <w:rPr>
          <w:color w:val="auto"/>
          <w:highlight w:val="none"/>
        </w:rPr>
      </w:pPr>
      <w:r>
        <w:rPr>
          <w:color w:val="auto"/>
          <w:highlight w:val="none"/>
        </w:rPr>
        <w:t>5</w:t>
      </w:r>
      <w:r>
        <w:rPr>
          <w:rFonts w:hint="eastAsia"/>
          <w:color w:val="auto"/>
          <w:highlight w:val="none"/>
        </w:rPr>
        <w:t>）导线</w:t>
      </w:r>
    </w:p>
    <w:p w14:paraId="2749E1B3">
      <w:pPr>
        <w:pStyle w:val="53"/>
        <w:kinsoku/>
        <w:overflowPunct/>
        <w:bidi w:val="0"/>
        <w:spacing w:line="360" w:lineRule="auto"/>
        <w:ind w:firstLine="525" w:firstLineChars="250"/>
        <w:rPr>
          <w:color w:val="auto"/>
          <w:highlight w:val="none"/>
        </w:rPr>
      </w:pPr>
      <w:r>
        <w:rPr>
          <w:rFonts w:hint="eastAsia"/>
          <w:color w:val="auto"/>
          <w:highlight w:val="none"/>
        </w:rPr>
        <w:t>推荐采用屏蔽导线组建测试系统，且导线的长度宜小于</w:t>
      </w:r>
      <w:r>
        <w:rPr>
          <w:color w:val="auto"/>
          <w:highlight w:val="none"/>
        </w:rPr>
        <w:t>5m</w:t>
      </w:r>
      <w:r>
        <w:rPr>
          <w:rFonts w:hint="eastAsia"/>
          <w:color w:val="auto"/>
          <w:highlight w:val="none"/>
        </w:rPr>
        <w:t>。</w:t>
      </w:r>
    </w:p>
    <w:p w14:paraId="12F49385">
      <w:pPr>
        <w:pStyle w:val="53"/>
        <w:kinsoku/>
        <w:overflowPunct/>
        <w:bidi w:val="0"/>
        <w:spacing w:line="360" w:lineRule="auto"/>
        <w:ind w:firstLine="525" w:firstLineChars="250"/>
        <w:rPr>
          <w:color w:val="auto"/>
          <w:highlight w:val="none"/>
        </w:rPr>
      </w:pPr>
      <w:r>
        <w:rPr>
          <w:color w:val="auto"/>
          <w:highlight w:val="none"/>
        </w:rPr>
        <w:t>6</w:t>
      </w:r>
      <w:r>
        <w:rPr>
          <w:rFonts w:hint="eastAsia"/>
          <w:color w:val="auto"/>
          <w:highlight w:val="none"/>
        </w:rPr>
        <w:t>）数据测试系统联试</w:t>
      </w:r>
    </w:p>
    <w:p w14:paraId="4454C936">
      <w:pPr>
        <w:pStyle w:val="53"/>
        <w:kinsoku/>
        <w:overflowPunct/>
        <w:bidi w:val="0"/>
        <w:spacing w:line="360" w:lineRule="auto"/>
        <w:ind w:firstLine="525" w:firstLineChars="250"/>
        <w:rPr>
          <w:color w:val="auto"/>
          <w:highlight w:val="none"/>
        </w:rPr>
      </w:pPr>
      <w:r>
        <w:rPr>
          <w:rFonts w:hint="eastAsia"/>
          <w:color w:val="auto"/>
          <w:highlight w:val="none"/>
        </w:rPr>
        <w:t>根据图</w:t>
      </w:r>
      <w:r>
        <w:rPr>
          <w:bCs w:val="0"/>
          <w:color w:val="auto"/>
          <w:kern w:val="2"/>
          <w:szCs w:val="24"/>
          <w:highlight w:val="none"/>
        </w:rPr>
        <w:t>6.1</w:t>
      </w:r>
      <w:r>
        <w:rPr>
          <w:rFonts w:hint="eastAsia"/>
          <w:bCs w:val="0"/>
          <w:color w:val="auto"/>
          <w:kern w:val="2"/>
          <w:szCs w:val="24"/>
          <w:highlight w:val="none"/>
        </w:rPr>
        <w:t>4.4-3</w:t>
      </w:r>
      <w:r>
        <w:rPr>
          <w:rFonts w:hint="eastAsia"/>
          <w:color w:val="auto"/>
          <w:highlight w:val="none"/>
        </w:rPr>
        <w:t>组建测试系统，设定应变的标定值，并联试和检测数据测试系统的状态。</w:t>
      </w:r>
    </w:p>
    <w:p w14:paraId="08AD5013">
      <w:pPr>
        <w:pStyle w:val="53"/>
        <w:kinsoku/>
        <w:overflowPunct/>
        <w:bidi w:val="0"/>
        <w:spacing w:line="360" w:lineRule="auto"/>
        <w:rPr>
          <w:color w:val="auto"/>
          <w:highlight w:val="none"/>
        </w:rPr>
      </w:pPr>
      <w:r>
        <w:rPr>
          <w:color w:val="auto"/>
          <w:highlight w:val="none"/>
        </w:rPr>
        <w:t xml:space="preserve">4 </w:t>
      </w:r>
      <w:r>
        <w:rPr>
          <w:rFonts w:hint="eastAsia"/>
          <w:color w:val="auto"/>
          <w:highlight w:val="none"/>
        </w:rPr>
        <w:t>试验系统检验</w:t>
      </w:r>
    </w:p>
    <w:p w14:paraId="59CE30E1">
      <w:pPr>
        <w:pStyle w:val="53"/>
        <w:kinsoku/>
        <w:overflowPunct/>
        <w:bidi w:val="0"/>
        <w:spacing w:line="360" w:lineRule="auto"/>
        <w:ind w:firstLine="525" w:firstLineChars="250"/>
        <w:rPr>
          <w:color w:val="auto"/>
          <w:highlight w:val="none"/>
        </w:rPr>
      </w:pPr>
      <w:r>
        <w:rPr>
          <w:color w:val="auto"/>
          <w:highlight w:val="none"/>
        </w:rPr>
        <w:t>1</w:t>
      </w:r>
      <w:r>
        <w:rPr>
          <w:rFonts w:hint="eastAsia"/>
          <w:color w:val="auto"/>
          <w:highlight w:val="none"/>
        </w:rPr>
        <w:t>）波导杆同轴度</w:t>
      </w:r>
    </w:p>
    <w:p w14:paraId="563619DA">
      <w:pPr>
        <w:pStyle w:val="53"/>
        <w:kinsoku/>
        <w:overflowPunct/>
        <w:bidi w:val="0"/>
        <w:spacing w:line="360" w:lineRule="auto"/>
        <w:ind w:firstLine="420" w:firstLineChars="200"/>
        <w:rPr>
          <w:color w:val="auto"/>
          <w:highlight w:val="none"/>
        </w:rPr>
      </w:pPr>
      <w:r>
        <w:rPr>
          <w:rFonts w:hint="eastAsia"/>
          <w:color w:val="auto"/>
          <w:highlight w:val="none"/>
        </w:rPr>
        <w:t>波导杆的同轴度可通过无试样的压缩试验检测，具体方法是：将输入杆和输出杆直接同轴接触，施加载荷，检测入射波和透射波状态。当入射波、透射波的波形相同，且两曲线平台值相差小于</w:t>
      </w:r>
      <w:r>
        <w:rPr>
          <w:color w:val="auto"/>
          <w:highlight w:val="none"/>
        </w:rPr>
        <w:t>5%</w:t>
      </w:r>
      <w:r>
        <w:rPr>
          <w:rFonts w:hint="eastAsia"/>
          <w:color w:val="auto"/>
          <w:highlight w:val="none"/>
        </w:rPr>
        <w:t>时，则波导杆的同轴度满足试验要求。</w:t>
      </w:r>
    </w:p>
    <w:p w14:paraId="748AB288">
      <w:pPr>
        <w:pStyle w:val="53"/>
        <w:kinsoku/>
        <w:overflowPunct/>
        <w:bidi w:val="0"/>
        <w:spacing w:line="360" w:lineRule="auto"/>
        <w:ind w:firstLine="525" w:firstLineChars="250"/>
        <w:rPr>
          <w:color w:val="auto"/>
          <w:highlight w:val="none"/>
        </w:rPr>
      </w:pPr>
      <w:r>
        <w:rPr>
          <w:color w:val="auto"/>
          <w:highlight w:val="none"/>
        </w:rPr>
        <w:t>2</w:t>
      </w:r>
      <w:r>
        <w:rPr>
          <w:rFonts w:hint="eastAsia"/>
          <w:color w:val="auto"/>
          <w:highlight w:val="none"/>
        </w:rPr>
        <w:t>）应变计</w:t>
      </w:r>
    </w:p>
    <w:p w14:paraId="13AF4176">
      <w:pPr>
        <w:pStyle w:val="53"/>
        <w:kinsoku/>
        <w:overflowPunct/>
        <w:bidi w:val="0"/>
        <w:spacing w:line="360" w:lineRule="auto"/>
        <w:ind w:firstLine="420" w:firstLineChars="200"/>
        <w:rPr>
          <w:color w:val="auto"/>
          <w:highlight w:val="none"/>
        </w:rPr>
      </w:pPr>
      <w:r>
        <w:rPr>
          <w:rFonts w:hint="eastAsia"/>
          <w:color w:val="auto"/>
          <w:highlight w:val="none"/>
        </w:rPr>
        <w:t>通过对粘贴应变计的波导杆施加已知静态力来标定应变计的输出信号；在动态压缩试验中，根据撞击杆速度、波导杆密度和纵波速度，应用式（</w:t>
      </w:r>
      <w:r>
        <w:rPr>
          <w:color w:val="auto"/>
          <w:highlight w:val="none"/>
        </w:rPr>
        <w:t>6.14.4-2</w:t>
      </w:r>
      <w:r>
        <w:rPr>
          <w:rFonts w:hint="eastAsia"/>
          <w:color w:val="auto"/>
          <w:highlight w:val="none"/>
        </w:rPr>
        <w:t>）计算杆中应力理论值；根据应变计测试信号</w:t>
      </w:r>
      <w:r>
        <w:rPr>
          <w:i/>
          <w:iCs/>
          <w:color w:val="auto"/>
          <w:highlight w:val="none"/>
        </w:rPr>
        <w:t>e</w:t>
      </w:r>
      <w:r>
        <w:rPr>
          <w:i/>
          <w:iCs/>
          <w:color w:val="auto"/>
          <w:highlight w:val="none"/>
          <w:vertAlign w:val="subscript"/>
        </w:rPr>
        <w:t>j</w:t>
      </w:r>
      <w:r>
        <w:rPr>
          <w:rFonts w:hint="eastAsia"/>
          <w:color w:val="auto"/>
          <w:highlight w:val="none"/>
        </w:rPr>
        <w:t>，应用式（</w:t>
      </w:r>
      <w:r>
        <w:rPr>
          <w:color w:val="auto"/>
          <w:highlight w:val="none"/>
        </w:rPr>
        <w:t>6.14.4-3</w:t>
      </w:r>
      <w:r>
        <w:rPr>
          <w:rFonts w:hint="eastAsia"/>
          <w:color w:val="auto"/>
          <w:highlight w:val="none"/>
        </w:rPr>
        <w:t>）计算杆中应力测试值。当理论计算与测试结果相差小于</w:t>
      </w:r>
      <w:r>
        <w:rPr>
          <w:color w:val="auto"/>
          <w:highlight w:val="none"/>
        </w:rPr>
        <w:t>5%</w:t>
      </w:r>
      <w:r>
        <w:rPr>
          <w:rFonts w:hint="eastAsia"/>
          <w:color w:val="auto"/>
          <w:highlight w:val="none"/>
        </w:rPr>
        <w:t>满足试验要求。</w:t>
      </w:r>
    </w:p>
    <w:p w14:paraId="2FF6986B">
      <w:pPr>
        <w:pStyle w:val="53"/>
        <w:kinsoku/>
        <w:overflowPunct/>
        <w:bidi w:val="0"/>
        <w:spacing w:line="360" w:lineRule="auto"/>
        <w:ind w:firstLine="420" w:firstLineChars="200"/>
        <w:jc w:val="right"/>
        <w:rPr>
          <w:color w:val="auto"/>
          <w:highlight w:val="none"/>
        </w:rPr>
      </w:pPr>
      <w:r>
        <w:rPr>
          <w:color w:val="auto"/>
          <w:position w:val="-24"/>
          <w:highlight w:val="none"/>
        </w:rPr>
        <w:object>
          <v:shape id="_x0000_i1085" o:spt="75" type="#_x0000_t75" style="height:30.75pt;width:57.2pt;" o:ole="t" filled="f" o:preferrelative="t" stroked="f" coordsize="21600,21600">
            <v:path/>
            <v:fill on="f" focussize="0,0"/>
            <v:stroke on="f" joinstyle="miter"/>
            <v:imagedata r:id="rId163" o:title=""/>
            <o:lock v:ext="edit" aspectratio="t"/>
            <w10:wrap type="none"/>
            <w10:anchorlock/>
          </v:shape>
          <o:OLEObject Type="Embed" ProgID="Equation.DSMT4" ShapeID="_x0000_i1085" DrawAspect="Content" ObjectID="_1468075785" r:id="rId162">
            <o:LockedField>false</o:LockedField>
          </o:OLEObject>
        </w:object>
      </w:r>
      <w:r>
        <w:rPr>
          <w:color w:val="auto"/>
          <w:highlight w:val="none"/>
        </w:rPr>
        <w:t xml:space="preserve">                           </w:t>
      </w:r>
      <w:r>
        <w:rPr>
          <w:rFonts w:hint="eastAsia"/>
          <w:color w:val="auto"/>
          <w:highlight w:val="none"/>
        </w:rPr>
        <w:t>（</w:t>
      </w:r>
      <w:r>
        <w:rPr>
          <w:color w:val="auto"/>
          <w:highlight w:val="none"/>
        </w:rPr>
        <w:t>6.14.4-2</w:t>
      </w:r>
      <w:r>
        <w:rPr>
          <w:rFonts w:hint="eastAsia"/>
          <w:color w:val="auto"/>
          <w:highlight w:val="none"/>
        </w:rPr>
        <w:t>）</w:t>
      </w:r>
    </w:p>
    <w:p w14:paraId="21EFFAD3">
      <w:pPr>
        <w:pStyle w:val="53"/>
        <w:kinsoku/>
        <w:overflowPunct/>
        <w:bidi w:val="0"/>
        <w:spacing w:line="360" w:lineRule="auto"/>
        <w:ind w:firstLine="420" w:firstLineChars="200"/>
        <w:jc w:val="right"/>
        <w:rPr>
          <w:color w:val="auto"/>
          <w:highlight w:val="none"/>
        </w:rPr>
      </w:pPr>
      <w:r>
        <w:rPr>
          <w:color w:val="auto"/>
          <w:position w:val="-14"/>
          <w:highlight w:val="none"/>
        </w:rPr>
        <w:object>
          <v:shape id="_x0000_i1086" o:spt="75" type="#_x0000_t75" style="height:19.05pt;width:47.85pt;" o:ole="t" filled="f" o:preferrelative="t" stroked="f" coordsize="21600,21600">
            <v:path/>
            <v:fill on="f" focussize="0,0"/>
            <v:stroke on="f" joinstyle="miter"/>
            <v:imagedata r:id="rId165" o:title=""/>
            <o:lock v:ext="edit" aspectratio="t"/>
            <w10:wrap type="none"/>
            <w10:anchorlock/>
          </v:shape>
          <o:OLEObject Type="Embed" ProgID="Equation.DSMT4" ShapeID="_x0000_i1086" DrawAspect="Content" ObjectID="_1468075786" r:id="rId164">
            <o:LockedField>false</o:LockedField>
          </o:OLEObject>
        </w:object>
      </w:r>
      <w:r>
        <w:rPr>
          <w:color w:val="auto"/>
          <w:highlight w:val="none"/>
        </w:rPr>
        <w:t xml:space="preserve">                            </w:t>
      </w:r>
      <w:r>
        <w:rPr>
          <w:rFonts w:hint="eastAsia"/>
          <w:color w:val="auto"/>
          <w:highlight w:val="none"/>
        </w:rPr>
        <w:t>（</w:t>
      </w:r>
      <w:r>
        <w:rPr>
          <w:color w:val="auto"/>
          <w:highlight w:val="none"/>
        </w:rPr>
        <w:t>6.14.4-3</w:t>
      </w:r>
      <w:r>
        <w:rPr>
          <w:rFonts w:hint="eastAsia"/>
          <w:color w:val="auto"/>
          <w:highlight w:val="none"/>
        </w:rPr>
        <w:t>）</w:t>
      </w:r>
    </w:p>
    <w:p w14:paraId="4A0790C8">
      <w:pPr>
        <w:pStyle w:val="53"/>
        <w:kinsoku/>
        <w:overflowPunct/>
        <w:bidi w:val="0"/>
        <w:spacing w:line="360" w:lineRule="auto"/>
        <w:ind w:firstLine="525" w:firstLineChars="250"/>
        <w:rPr>
          <w:color w:val="auto"/>
          <w:highlight w:val="none"/>
        </w:rPr>
      </w:pPr>
      <w:r>
        <w:rPr>
          <w:color w:val="auto"/>
          <w:highlight w:val="none"/>
        </w:rPr>
        <w:t>3</w:t>
      </w:r>
      <w:r>
        <w:rPr>
          <w:rFonts w:hint="eastAsia"/>
          <w:color w:val="auto"/>
          <w:highlight w:val="none"/>
        </w:rPr>
        <w:t>）波速标定</w:t>
      </w:r>
    </w:p>
    <w:p w14:paraId="0E836AC3">
      <w:pPr>
        <w:pStyle w:val="53"/>
        <w:kinsoku/>
        <w:overflowPunct/>
        <w:bidi w:val="0"/>
        <w:spacing w:line="360" w:lineRule="auto"/>
        <w:ind w:firstLine="420" w:firstLineChars="200"/>
        <w:rPr>
          <w:color w:val="auto"/>
          <w:highlight w:val="none"/>
        </w:rPr>
      </w:pPr>
      <w:r>
        <w:rPr>
          <w:rFonts w:hint="eastAsia"/>
          <w:color w:val="auto"/>
          <w:highlight w:val="none"/>
        </w:rPr>
        <w:t>在波导杆上选取一定距离的两点分别粘贴应变计</w:t>
      </w:r>
      <w:r>
        <w:rPr>
          <w:color w:val="auto"/>
          <w:highlight w:val="none"/>
        </w:rPr>
        <w:t>，</w:t>
      </w:r>
      <w:r>
        <w:rPr>
          <w:rFonts w:hint="eastAsia"/>
          <w:color w:val="auto"/>
          <w:highlight w:val="none"/>
        </w:rPr>
        <w:t>根据两应变计间的距离和应力波传播时间来计算波导杆中的弹性纵波传播速度</w:t>
      </w:r>
      <w:r>
        <w:rPr>
          <w:color w:val="auto"/>
          <w:highlight w:val="none"/>
        </w:rPr>
        <w:t>；</w:t>
      </w:r>
      <w:r>
        <w:rPr>
          <w:rFonts w:hint="eastAsia"/>
          <w:color w:val="auto"/>
          <w:highlight w:val="none"/>
        </w:rPr>
        <w:t>将测试结果与理论公式（</w:t>
      </w:r>
      <w:r>
        <w:rPr>
          <w:color w:val="auto"/>
          <w:highlight w:val="none"/>
        </w:rPr>
        <w:t>6.14.4-4</w:t>
      </w:r>
      <w:r>
        <w:rPr>
          <w:rFonts w:hint="eastAsia"/>
          <w:color w:val="auto"/>
          <w:highlight w:val="none"/>
        </w:rPr>
        <w:t>）计算值进行对比</w:t>
      </w:r>
      <w:r>
        <w:rPr>
          <w:color w:val="auto"/>
          <w:highlight w:val="none"/>
        </w:rPr>
        <w:t>，</w:t>
      </w:r>
      <w:r>
        <w:rPr>
          <w:rFonts w:hint="eastAsia"/>
          <w:color w:val="auto"/>
          <w:highlight w:val="none"/>
        </w:rPr>
        <w:t>当测试值与理论计算值相差小于</w:t>
      </w:r>
      <w:r>
        <w:rPr>
          <w:color w:val="auto"/>
          <w:highlight w:val="none"/>
        </w:rPr>
        <w:t>2%</w:t>
      </w:r>
      <w:r>
        <w:rPr>
          <w:rFonts w:hint="eastAsia"/>
          <w:color w:val="auto"/>
          <w:highlight w:val="none"/>
        </w:rPr>
        <w:t>满足试验要求。</w:t>
      </w:r>
    </w:p>
    <w:p w14:paraId="77C87A69">
      <w:pPr>
        <w:pStyle w:val="53"/>
        <w:kinsoku/>
        <w:overflowPunct/>
        <w:bidi w:val="0"/>
        <w:spacing w:line="360" w:lineRule="auto"/>
        <w:ind w:firstLine="420" w:firstLineChars="200"/>
        <w:jc w:val="right"/>
        <w:rPr>
          <w:color w:val="auto"/>
          <w:highlight w:val="none"/>
        </w:rPr>
      </w:pPr>
      <w:r>
        <w:rPr>
          <w:color w:val="auto"/>
          <w:position w:val="-32"/>
          <w:highlight w:val="none"/>
        </w:rPr>
        <w:object>
          <v:shape id="_x0000_i1087" o:spt="75" type="#_x0000_t75" style="height:37.75pt;width:49.05pt;" o:ole="t" filled="f" o:preferrelative="t" stroked="f" coordsize="21600,21600">
            <v:path/>
            <v:fill on="f" focussize="0,0"/>
            <v:stroke on="f" joinstyle="miter"/>
            <v:imagedata r:id="rId167" o:title=""/>
            <o:lock v:ext="edit" aspectratio="t"/>
            <w10:wrap type="none"/>
            <w10:anchorlock/>
          </v:shape>
          <o:OLEObject Type="Embed" ProgID="Equation.DSMT4" ShapeID="_x0000_i1087" DrawAspect="Content" ObjectID="_1468075787" r:id="rId166">
            <o:LockedField>false</o:LockedField>
          </o:OLEObject>
        </w:object>
      </w:r>
      <w:r>
        <w:rPr>
          <w:color w:val="auto"/>
          <w:highlight w:val="none"/>
        </w:rPr>
        <w:t xml:space="preserve">                           </w:t>
      </w:r>
      <w:r>
        <w:rPr>
          <w:rFonts w:hint="eastAsia"/>
          <w:color w:val="auto"/>
          <w:highlight w:val="none"/>
        </w:rPr>
        <w:t>（</w:t>
      </w:r>
      <w:r>
        <w:rPr>
          <w:color w:val="auto"/>
          <w:highlight w:val="none"/>
        </w:rPr>
        <w:t>6.14.4-4</w:t>
      </w:r>
      <w:r>
        <w:rPr>
          <w:rFonts w:hint="eastAsia"/>
          <w:color w:val="auto"/>
          <w:highlight w:val="none"/>
        </w:rPr>
        <w:t>）</w:t>
      </w:r>
    </w:p>
    <w:p w14:paraId="07CD494B">
      <w:pPr>
        <w:kinsoku/>
        <w:overflowPunct/>
        <w:bidi w:val="0"/>
        <w:spacing w:before="156" w:beforeLines="50" w:line="360" w:lineRule="auto"/>
        <w:ind w:right="420"/>
        <w:rPr>
          <w:color w:val="auto"/>
          <w:highlight w:val="none"/>
        </w:rPr>
      </w:pPr>
      <w:r>
        <w:rPr>
          <w:color w:val="auto"/>
          <w:highlight w:val="none"/>
        </w:rPr>
        <w:t xml:space="preserve">6.14.5 </w:t>
      </w:r>
      <w:r>
        <w:rPr>
          <w:rFonts w:hint="eastAsia"/>
          <w:color w:val="auto"/>
          <w:highlight w:val="none"/>
        </w:rPr>
        <w:t>超高性能混凝土动态压缩试验应按下列步骤进行：</w:t>
      </w:r>
      <w:r>
        <w:rPr>
          <w:color w:val="auto"/>
          <w:highlight w:val="none"/>
        </w:rPr>
        <w:t xml:space="preserve"> </w:t>
      </w:r>
    </w:p>
    <w:p w14:paraId="4DAD1F28">
      <w:pPr>
        <w:pStyle w:val="53"/>
        <w:kinsoku/>
        <w:overflowPunct/>
        <w:bidi w:val="0"/>
        <w:spacing w:line="360" w:lineRule="auto"/>
        <w:rPr>
          <w:color w:val="auto"/>
          <w:highlight w:val="none"/>
        </w:rPr>
      </w:pPr>
      <w:r>
        <w:rPr>
          <w:color w:val="auto"/>
          <w:highlight w:val="none"/>
        </w:rPr>
        <w:t xml:space="preserve">1 </w:t>
      </w:r>
      <w:r>
        <w:rPr>
          <w:rFonts w:hint="eastAsia"/>
          <w:color w:val="auto"/>
          <w:highlight w:val="none"/>
        </w:rPr>
        <w:t>试验条件</w:t>
      </w:r>
    </w:p>
    <w:p w14:paraId="067BB1D6">
      <w:pPr>
        <w:pStyle w:val="53"/>
        <w:kinsoku/>
        <w:overflowPunct/>
        <w:bidi w:val="0"/>
        <w:spacing w:line="360" w:lineRule="auto"/>
        <w:rPr>
          <w:strike/>
          <w:color w:val="auto"/>
          <w:highlight w:val="none"/>
        </w:rPr>
      </w:pPr>
      <w:r>
        <w:rPr>
          <w:rFonts w:hint="eastAsia"/>
          <w:color w:val="auto"/>
          <w:highlight w:val="none"/>
        </w:rPr>
        <w:t>试验环境相对湿度不宜小于50%，温度应保持在20℃±5℃。</w:t>
      </w:r>
    </w:p>
    <w:p w14:paraId="6B69BB3D">
      <w:pPr>
        <w:pStyle w:val="53"/>
        <w:kinsoku/>
        <w:overflowPunct/>
        <w:bidi w:val="0"/>
        <w:spacing w:line="360" w:lineRule="auto"/>
        <w:rPr>
          <w:color w:val="auto"/>
          <w:highlight w:val="none"/>
        </w:rPr>
      </w:pPr>
      <w:r>
        <w:rPr>
          <w:color w:val="auto"/>
          <w:highlight w:val="none"/>
        </w:rPr>
        <w:t xml:space="preserve">2 </w:t>
      </w:r>
      <w:r>
        <w:rPr>
          <w:rFonts w:hint="eastAsia"/>
          <w:color w:val="auto"/>
          <w:highlight w:val="none"/>
        </w:rPr>
        <w:t>测量系统建立</w:t>
      </w:r>
    </w:p>
    <w:p w14:paraId="7872A420">
      <w:pPr>
        <w:pStyle w:val="53"/>
        <w:kinsoku/>
        <w:overflowPunct/>
        <w:bidi w:val="0"/>
        <w:spacing w:line="360" w:lineRule="auto"/>
        <w:rPr>
          <w:color w:val="auto"/>
          <w:highlight w:val="none"/>
        </w:rPr>
      </w:pPr>
      <w:r>
        <w:rPr>
          <w:rFonts w:hint="eastAsia"/>
          <w:color w:val="auto"/>
          <w:highlight w:val="none"/>
        </w:rPr>
        <w:t>按</w:t>
      </w:r>
      <w:r>
        <w:rPr>
          <w:color w:val="auto"/>
          <w:highlight w:val="none"/>
        </w:rPr>
        <w:t>6.14.4</w:t>
      </w:r>
      <w:r>
        <w:rPr>
          <w:rFonts w:hint="eastAsia"/>
          <w:color w:val="auto"/>
          <w:highlight w:val="none"/>
        </w:rPr>
        <w:t>条要求在波导杆中部位置粘贴应变计，布置应变计引线连接数据采集与存储装置。</w:t>
      </w:r>
    </w:p>
    <w:p w14:paraId="48F0B0BB">
      <w:pPr>
        <w:pStyle w:val="53"/>
        <w:kinsoku/>
        <w:overflowPunct/>
        <w:bidi w:val="0"/>
        <w:spacing w:line="360" w:lineRule="auto"/>
        <w:rPr>
          <w:color w:val="auto"/>
          <w:highlight w:val="none"/>
        </w:rPr>
      </w:pPr>
      <w:r>
        <w:rPr>
          <w:color w:val="auto"/>
          <w:highlight w:val="none"/>
        </w:rPr>
        <w:t xml:space="preserve">3 </w:t>
      </w:r>
      <w:r>
        <w:rPr>
          <w:rFonts w:hint="eastAsia"/>
          <w:color w:val="auto"/>
          <w:highlight w:val="none"/>
        </w:rPr>
        <w:t>数据采集系统设置</w:t>
      </w:r>
    </w:p>
    <w:p w14:paraId="54B8D863">
      <w:pPr>
        <w:pStyle w:val="53"/>
        <w:kinsoku/>
        <w:overflowPunct/>
        <w:bidi w:val="0"/>
        <w:spacing w:line="360" w:lineRule="auto"/>
        <w:rPr>
          <w:color w:val="auto"/>
          <w:highlight w:val="none"/>
        </w:rPr>
      </w:pPr>
      <w:r>
        <w:rPr>
          <w:rFonts w:hint="eastAsia"/>
          <w:color w:val="auto"/>
          <w:highlight w:val="none"/>
        </w:rPr>
        <w:t>开启测速装置、应变信号采集与存储装置预热至设备稳定。对数据采集系统进行参数设定，以保证记录信号的完整性。</w:t>
      </w:r>
    </w:p>
    <w:p w14:paraId="525241BA">
      <w:pPr>
        <w:pStyle w:val="53"/>
        <w:kinsoku/>
        <w:overflowPunct/>
        <w:bidi w:val="0"/>
        <w:spacing w:line="360" w:lineRule="auto"/>
        <w:rPr>
          <w:color w:val="auto"/>
          <w:highlight w:val="none"/>
        </w:rPr>
      </w:pPr>
      <w:r>
        <w:rPr>
          <w:color w:val="auto"/>
          <w:highlight w:val="none"/>
        </w:rPr>
        <w:t xml:space="preserve">4 </w:t>
      </w:r>
      <w:r>
        <w:rPr>
          <w:rFonts w:hint="eastAsia"/>
          <w:color w:val="auto"/>
          <w:highlight w:val="none"/>
        </w:rPr>
        <w:t>撞击杆安装</w:t>
      </w:r>
    </w:p>
    <w:p w14:paraId="38B06EC3">
      <w:pPr>
        <w:pStyle w:val="53"/>
        <w:kinsoku/>
        <w:overflowPunct/>
        <w:bidi w:val="0"/>
        <w:spacing w:line="360" w:lineRule="auto"/>
        <w:rPr>
          <w:color w:val="auto"/>
          <w:highlight w:val="none"/>
        </w:rPr>
      </w:pPr>
      <w:r>
        <w:rPr>
          <w:rFonts w:hint="eastAsia"/>
          <w:color w:val="auto"/>
          <w:highlight w:val="none"/>
        </w:rPr>
        <w:t>将撞击杆置于驱动装置内。</w:t>
      </w:r>
    </w:p>
    <w:p w14:paraId="689409A9">
      <w:pPr>
        <w:pStyle w:val="53"/>
        <w:kinsoku/>
        <w:overflowPunct/>
        <w:bidi w:val="0"/>
        <w:spacing w:line="360" w:lineRule="auto"/>
        <w:rPr>
          <w:color w:val="auto"/>
          <w:highlight w:val="none"/>
        </w:rPr>
      </w:pPr>
      <w:r>
        <w:rPr>
          <w:rFonts w:hint="eastAsia"/>
          <w:color w:val="auto"/>
          <w:highlight w:val="none"/>
        </w:rPr>
        <w:t>5 试验系统检验</w:t>
      </w:r>
    </w:p>
    <w:p w14:paraId="2FD87D69">
      <w:pPr>
        <w:pStyle w:val="53"/>
        <w:kinsoku/>
        <w:overflowPunct/>
        <w:bidi w:val="0"/>
        <w:spacing w:line="360" w:lineRule="auto"/>
        <w:rPr>
          <w:color w:val="auto"/>
          <w:highlight w:val="none"/>
        </w:rPr>
      </w:pPr>
      <w:r>
        <w:rPr>
          <w:rFonts w:hint="eastAsia"/>
          <w:color w:val="auto"/>
          <w:highlight w:val="none"/>
        </w:rPr>
        <w:t>试验前应对试验系统进行检验。</w:t>
      </w:r>
    </w:p>
    <w:p w14:paraId="639601C9">
      <w:pPr>
        <w:pStyle w:val="53"/>
        <w:kinsoku/>
        <w:overflowPunct/>
        <w:bidi w:val="0"/>
        <w:spacing w:line="360" w:lineRule="auto"/>
        <w:rPr>
          <w:color w:val="auto"/>
          <w:highlight w:val="none"/>
        </w:rPr>
      </w:pPr>
      <w:r>
        <w:rPr>
          <w:rFonts w:hint="eastAsia"/>
          <w:color w:val="auto"/>
          <w:highlight w:val="none"/>
        </w:rPr>
        <w:t>6</w:t>
      </w:r>
      <w:r>
        <w:rPr>
          <w:color w:val="auto"/>
          <w:highlight w:val="none"/>
        </w:rPr>
        <w:t xml:space="preserve"> </w:t>
      </w:r>
      <w:r>
        <w:rPr>
          <w:rFonts w:hint="eastAsia"/>
          <w:color w:val="auto"/>
          <w:highlight w:val="none"/>
        </w:rPr>
        <w:t>试样安装</w:t>
      </w:r>
    </w:p>
    <w:p w14:paraId="0CCF58C9">
      <w:pPr>
        <w:pStyle w:val="53"/>
        <w:kinsoku/>
        <w:overflowPunct/>
        <w:bidi w:val="0"/>
        <w:spacing w:line="360" w:lineRule="auto"/>
        <w:rPr>
          <w:color w:val="auto"/>
          <w:highlight w:val="none"/>
        </w:rPr>
      </w:pPr>
      <w:r>
        <w:rPr>
          <w:rFonts w:hint="eastAsia"/>
          <w:color w:val="auto"/>
          <w:highlight w:val="none"/>
        </w:rPr>
        <w:t>将待测试样两端均匀涂抹一层润滑剂，置于输入杆和输出杆中间，与波导杆同轴；同时宜在试样和输入杆中间加入波形整形器，与波导杆同轴。润滑剂推荐采用凡士林；波形整形器宜采用橡胶圆片，直径宜为</w:t>
      </w:r>
      <w:r>
        <w:rPr>
          <w:color w:val="auto"/>
          <w:highlight w:val="none"/>
        </w:rPr>
        <w:t>20mm~30mm</w:t>
      </w:r>
      <w:r>
        <w:rPr>
          <w:rFonts w:hint="eastAsia"/>
          <w:color w:val="auto"/>
          <w:highlight w:val="none"/>
        </w:rPr>
        <w:t>，厚度宜为</w:t>
      </w:r>
      <w:r>
        <w:rPr>
          <w:color w:val="auto"/>
          <w:highlight w:val="none"/>
        </w:rPr>
        <w:t>1.0mm~2.0mm</w:t>
      </w:r>
      <w:r>
        <w:rPr>
          <w:rFonts w:hint="eastAsia"/>
          <w:color w:val="auto"/>
          <w:highlight w:val="none"/>
        </w:rPr>
        <w:t>。</w:t>
      </w:r>
    </w:p>
    <w:p w14:paraId="098DC58E">
      <w:pPr>
        <w:pStyle w:val="53"/>
        <w:kinsoku/>
        <w:overflowPunct/>
        <w:bidi w:val="0"/>
        <w:spacing w:line="360" w:lineRule="auto"/>
        <w:rPr>
          <w:color w:val="auto"/>
          <w:highlight w:val="none"/>
        </w:rPr>
      </w:pPr>
      <w:r>
        <w:rPr>
          <w:rFonts w:hint="eastAsia"/>
          <w:color w:val="auto"/>
          <w:highlight w:val="none"/>
        </w:rPr>
        <w:t>7</w:t>
      </w:r>
      <w:r>
        <w:rPr>
          <w:color w:val="auto"/>
          <w:highlight w:val="none"/>
        </w:rPr>
        <w:t xml:space="preserve"> </w:t>
      </w:r>
      <w:r>
        <w:rPr>
          <w:rFonts w:hint="eastAsia"/>
          <w:color w:val="auto"/>
          <w:highlight w:val="none"/>
        </w:rPr>
        <w:t>驱动撞击杆</w:t>
      </w:r>
    </w:p>
    <w:p w14:paraId="1EE08459">
      <w:pPr>
        <w:pStyle w:val="53"/>
        <w:kinsoku/>
        <w:overflowPunct/>
        <w:bidi w:val="0"/>
        <w:spacing w:line="360" w:lineRule="auto"/>
        <w:rPr>
          <w:color w:val="auto"/>
          <w:highlight w:val="none"/>
        </w:rPr>
      </w:pPr>
      <w:r>
        <w:rPr>
          <w:rFonts w:hint="eastAsia"/>
          <w:color w:val="auto"/>
          <w:highlight w:val="none"/>
        </w:rPr>
        <w:t>将测速装置和应变信号采集系统置于待触发状态，根据设定的冲击速度，调整好冲击气压，驱动撞击杆，速度应符合</w:t>
      </w:r>
      <w:r>
        <w:rPr>
          <w:color w:val="auto"/>
          <w:highlight w:val="none"/>
        </w:rPr>
        <w:t>6.14.4</w:t>
      </w:r>
      <w:r>
        <w:rPr>
          <w:rFonts w:hint="eastAsia"/>
          <w:color w:val="auto"/>
          <w:highlight w:val="none"/>
        </w:rPr>
        <w:t>条规定。</w:t>
      </w:r>
    </w:p>
    <w:p w14:paraId="264200CF">
      <w:pPr>
        <w:pStyle w:val="53"/>
        <w:kinsoku/>
        <w:overflowPunct/>
        <w:bidi w:val="0"/>
        <w:spacing w:line="360" w:lineRule="auto"/>
        <w:rPr>
          <w:color w:val="auto"/>
          <w:highlight w:val="none"/>
        </w:rPr>
      </w:pPr>
      <w:r>
        <w:rPr>
          <w:rFonts w:hint="eastAsia"/>
          <w:color w:val="auto"/>
          <w:highlight w:val="none"/>
        </w:rPr>
        <w:t>8</w:t>
      </w:r>
      <w:r>
        <w:rPr>
          <w:color w:val="auto"/>
          <w:highlight w:val="none"/>
        </w:rPr>
        <w:t xml:space="preserve"> </w:t>
      </w:r>
      <w:r>
        <w:rPr>
          <w:rFonts w:hint="eastAsia"/>
          <w:color w:val="auto"/>
          <w:highlight w:val="none"/>
        </w:rPr>
        <w:t>数据采集</w:t>
      </w:r>
    </w:p>
    <w:p w14:paraId="5F138DD6">
      <w:pPr>
        <w:pStyle w:val="53"/>
        <w:kinsoku/>
        <w:overflowPunct/>
        <w:bidi w:val="0"/>
        <w:spacing w:line="360" w:lineRule="auto"/>
        <w:rPr>
          <w:color w:val="auto"/>
          <w:highlight w:val="none"/>
        </w:rPr>
      </w:pPr>
      <w:r>
        <w:rPr>
          <w:rFonts w:hint="eastAsia"/>
          <w:color w:val="auto"/>
          <w:highlight w:val="none"/>
        </w:rPr>
        <w:t>记录撞击杆速度、波导杆应变信号。</w:t>
      </w:r>
    </w:p>
    <w:p w14:paraId="5CA4FE51">
      <w:pPr>
        <w:pStyle w:val="53"/>
        <w:kinsoku/>
        <w:overflowPunct/>
        <w:bidi w:val="0"/>
        <w:spacing w:line="360" w:lineRule="auto"/>
        <w:rPr>
          <w:color w:val="auto"/>
          <w:highlight w:val="none"/>
        </w:rPr>
      </w:pPr>
      <w:r>
        <w:rPr>
          <w:rFonts w:hint="eastAsia"/>
          <w:color w:val="auto"/>
          <w:highlight w:val="none"/>
        </w:rPr>
        <w:t>9 测量与记录</w:t>
      </w:r>
    </w:p>
    <w:p w14:paraId="40BD4224">
      <w:pPr>
        <w:pStyle w:val="53"/>
        <w:kinsoku/>
        <w:overflowPunct/>
        <w:bidi w:val="0"/>
        <w:spacing w:line="360" w:lineRule="auto"/>
        <w:rPr>
          <w:color w:val="auto"/>
          <w:highlight w:val="none"/>
        </w:rPr>
      </w:pPr>
      <w:r>
        <w:rPr>
          <w:rFonts w:hint="eastAsia"/>
          <w:color w:val="auto"/>
          <w:highlight w:val="none"/>
        </w:rPr>
        <w:t>试验过程中应测量和记录以下信息：</w:t>
      </w:r>
    </w:p>
    <w:p w14:paraId="379F3B51">
      <w:pPr>
        <w:pStyle w:val="53"/>
        <w:kinsoku/>
        <w:overflowPunct/>
        <w:bidi w:val="0"/>
        <w:spacing w:line="360" w:lineRule="auto"/>
        <w:ind w:firstLine="525" w:firstLineChars="250"/>
        <w:rPr>
          <w:color w:val="auto"/>
          <w:highlight w:val="none"/>
        </w:rPr>
      </w:pPr>
      <w:r>
        <w:rPr>
          <w:rFonts w:hint="eastAsia"/>
          <w:color w:val="auto"/>
          <w:highlight w:val="none"/>
        </w:rPr>
        <w:t>1）撞击杆与波导杆的尺寸、弹性模量和弹性纵波液速；</w:t>
      </w:r>
    </w:p>
    <w:p w14:paraId="72B35CE7">
      <w:pPr>
        <w:pStyle w:val="53"/>
        <w:kinsoku/>
        <w:overflowPunct/>
        <w:bidi w:val="0"/>
        <w:spacing w:line="360" w:lineRule="auto"/>
        <w:ind w:firstLine="525" w:firstLineChars="250"/>
        <w:rPr>
          <w:color w:val="auto"/>
          <w:highlight w:val="none"/>
        </w:rPr>
      </w:pPr>
      <w:r>
        <w:rPr>
          <w:rFonts w:hint="eastAsia"/>
          <w:color w:val="auto"/>
          <w:highlight w:val="none"/>
        </w:rPr>
        <w:t>2）应变计的型号、灵敏系数和电阻值等参数及其在波导杆中的粘贴位置；</w:t>
      </w:r>
    </w:p>
    <w:p w14:paraId="65FFF8E3">
      <w:pPr>
        <w:pStyle w:val="53"/>
        <w:kinsoku/>
        <w:overflowPunct/>
        <w:bidi w:val="0"/>
        <w:spacing w:line="360" w:lineRule="auto"/>
        <w:ind w:firstLine="525" w:firstLineChars="250"/>
        <w:rPr>
          <w:color w:val="auto"/>
          <w:highlight w:val="none"/>
        </w:rPr>
      </w:pPr>
      <w:r>
        <w:rPr>
          <w:rFonts w:hint="eastAsia"/>
          <w:color w:val="auto"/>
          <w:highlight w:val="none"/>
        </w:rPr>
        <w:t>3）数据测试系统的参数（测试电路、应变的标定值等）；</w:t>
      </w:r>
    </w:p>
    <w:p w14:paraId="27FBF6C1">
      <w:pPr>
        <w:pStyle w:val="53"/>
        <w:kinsoku/>
        <w:overflowPunct/>
        <w:bidi w:val="0"/>
        <w:spacing w:line="360" w:lineRule="auto"/>
        <w:ind w:firstLine="525" w:firstLineChars="250"/>
        <w:rPr>
          <w:color w:val="auto"/>
          <w:highlight w:val="none"/>
        </w:rPr>
      </w:pPr>
      <w:r>
        <w:rPr>
          <w:rFonts w:hint="eastAsia"/>
          <w:color w:val="auto"/>
          <w:highlight w:val="none"/>
        </w:rPr>
        <w:t>4）撞击杆速度；</w:t>
      </w:r>
    </w:p>
    <w:p w14:paraId="08361F3C">
      <w:pPr>
        <w:pStyle w:val="53"/>
        <w:kinsoku/>
        <w:overflowPunct/>
        <w:bidi w:val="0"/>
        <w:spacing w:line="360" w:lineRule="auto"/>
        <w:ind w:firstLine="525" w:firstLineChars="250"/>
        <w:rPr>
          <w:color w:val="auto"/>
          <w:highlight w:val="none"/>
        </w:rPr>
      </w:pPr>
      <w:r>
        <w:rPr>
          <w:rFonts w:hint="eastAsia"/>
          <w:color w:val="auto"/>
          <w:highlight w:val="none"/>
        </w:rPr>
        <w:t>5）试样尺寸；</w:t>
      </w:r>
    </w:p>
    <w:p w14:paraId="1F590176">
      <w:pPr>
        <w:pStyle w:val="53"/>
        <w:kinsoku/>
        <w:overflowPunct/>
        <w:bidi w:val="0"/>
        <w:spacing w:line="360" w:lineRule="auto"/>
        <w:ind w:firstLine="525" w:firstLineChars="250"/>
        <w:rPr>
          <w:color w:val="auto"/>
          <w:highlight w:val="none"/>
        </w:rPr>
      </w:pPr>
      <w:r>
        <w:rPr>
          <w:rFonts w:hint="eastAsia"/>
          <w:color w:val="auto"/>
          <w:highlight w:val="none"/>
        </w:rPr>
        <w:t>6）输入杆和输出杆原始波形；</w:t>
      </w:r>
    </w:p>
    <w:p w14:paraId="3127C952">
      <w:pPr>
        <w:pStyle w:val="53"/>
        <w:kinsoku/>
        <w:overflowPunct/>
        <w:bidi w:val="0"/>
        <w:spacing w:line="360" w:lineRule="auto"/>
        <w:ind w:firstLine="525" w:firstLineChars="250"/>
        <w:rPr>
          <w:color w:val="auto"/>
          <w:highlight w:val="none"/>
        </w:rPr>
      </w:pPr>
      <w:r>
        <w:rPr>
          <w:rFonts w:hint="eastAsia"/>
          <w:color w:val="auto"/>
          <w:highlight w:val="none"/>
        </w:rPr>
        <w:t>7）试验后试样破坏情况。</w:t>
      </w:r>
    </w:p>
    <w:p w14:paraId="44BA42C0">
      <w:pPr>
        <w:kinsoku/>
        <w:overflowPunct/>
        <w:bidi w:val="0"/>
        <w:spacing w:before="156" w:beforeLines="50" w:line="360" w:lineRule="auto"/>
        <w:ind w:right="420"/>
        <w:rPr>
          <w:color w:val="auto"/>
          <w:highlight w:val="none"/>
        </w:rPr>
      </w:pPr>
      <w:r>
        <w:rPr>
          <w:color w:val="auto"/>
          <w:highlight w:val="none"/>
        </w:rPr>
        <w:t xml:space="preserve">6.14.6 </w:t>
      </w:r>
      <w:r>
        <w:rPr>
          <w:rFonts w:hint="eastAsia"/>
          <w:color w:val="auto"/>
          <w:highlight w:val="none"/>
        </w:rPr>
        <w:t>试验数据处理</w:t>
      </w:r>
    </w:p>
    <w:p w14:paraId="71074E15">
      <w:pPr>
        <w:pStyle w:val="53"/>
        <w:kinsoku/>
        <w:overflowPunct/>
        <w:bidi w:val="0"/>
        <w:spacing w:line="360" w:lineRule="auto"/>
        <w:rPr>
          <w:color w:val="auto"/>
          <w:highlight w:val="none"/>
        </w:rPr>
      </w:pPr>
      <w:r>
        <w:rPr>
          <w:color w:val="auto"/>
          <w:highlight w:val="none"/>
        </w:rPr>
        <w:t xml:space="preserve">1 </w:t>
      </w:r>
      <w:r>
        <w:rPr>
          <w:rFonts w:hint="eastAsia"/>
          <w:color w:val="auto"/>
          <w:highlight w:val="none"/>
        </w:rPr>
        <w:t>波导杆中的应变</w:t>
      </w:r>
    </w:p>
    <w:p w14:paraId="404B740A">
      <w:pPr>
        <w:pStyle w:val="53"/>
        <w:kinsoku/>
        <w:overflowPunct/>
        <w:bidi w:val="0"/>
        <w:spacing w:line="360" w:lineRule="auto"/>
        <w:rPr>
          <w:color w:val="auto"/>
          <w:highlight w:val="none"/>
        </w:rPr>
      </w:pPr>
      <w:r>
        <w:rPr>
          <w:rFonts w:hint="eastAsia"/>
          <w:color w:val="auto"/>
          <w:highlight w:val="none"/>
        </w:rPr>
        <w:t>波导杆中的应变按式（</w:t>
      </w:r>
      <w:r>
        <w:rPr>
          <w:color w:val="auto"/>
          <w:highlight w:val="none"/>
        </w:rPr>
        <w:t>6.14.6-1</w:t>
      </w:r>
      <w:r>
        <w:rPr>
          <w:rFonts w:hint="eastAsia"/>
          <w:color w:val="auto"/>
          <w:highlight w:val="none"/>
        </w:rPr>
        <w:t>）计算：</w:t>
      </w:r>
    </w:p>
    <w:p w14:paraId="64B0178B">
      <w:pPr>
        <w:pStyle w:val="53"/>
        <w:kinsoku/>
        <w:overflowPunct/>
        <w:bidi w:val="0"/>
        <w:spacing w:line="360" w:lineRule="auto"/>
        <w:ind w:firstLine="420" w:firstLineChars="200"/>
        <w:jc w:val="right"/>
        <w:rPr>
          <w:color w:val="auto"/>
          <w:highlight w:val="none"/>
        </w:rPr>
      </w:pPr>
      <w:r>
        <w:rPr>
          <w:color w:val="auto"/>
          <w:position w:val="-14"/>
          <w:highlight w:val="none"/>
        </w:rPr>
        <w:object>
          <v:shape id="_x0000_i1088" o:spt="75" type="#_x0000_t75" style="height:20.25pt;width:107.05pt;" o:ole="t" filled="f" o:preferrelative="t" stroked="f" coordsize="21600,21600">
            <v:path/>
            <v:fill on="f" focussize="0,0"/>
            <v:stroke on="f" joinstyle="miter"/>
            <v:imagedata r:id="rId169" o:title=""/>
            <o:lock v:ext="edit" aspectratio="t"/>
            <w10:wrap type="none"/>
            <w10:anchorlock/>
          </v:shape>
          <o:OLEObject Type="Embed" ProgID="Equation.DSMT4" ShapeID="_x0000_i1088" DrawAspect="Content" ObjectID="_1468075788" r:id="rId168">
            <o:LockedField>false</o:LockedField>
          </o:OLEObject>
        </w:object>
      </w:r>
      <w:r>
        <w:rPr>
          <w:color w:val="auto"/>
          <w:highlight w:val="none"/>
        </w:rPr>
        <w:t xml:space="preserve">                         </w:t>
      </w:r>
      <w:r>
        <w:rPr>
          <w:rFonts w:hint="eastAsia"/>
          <w:color w:val="auto"/>
          <w:highlight w:val="none"/>
        </w:rPr>
        <w:t>（</w:t>
      </w:r>
      <w:r>
        <w:rPr>
          <w:color w:val="auto"/>
          <w:highlight w:val="none"/>
        </w:rPr>
        <w:t>6.14.6-1</w:t>
      </w:r>
      <w:r>
        <w:rPr>
          <w:rFonts w:hint="eastAsia"/>
          <w:color w:val="auto"/>
          <w:highlight w:val="none"/>
        </w:rPr>
        <w:t>）</w:t>
      </w:r>
    </w:p>
    <w:p w14:paraId="3439E390">
      <w:pPr>
        <w:pStyle w:val="53"/>
        <w:kinsoku/>
        <w:overflowPunct/>
        <w:bidi w:val="0"/>
        <w:spacing w:line="360" w:lineRule="auto"/>
        <w:rPr>
          <w:color w:val="auto"/>
          <w:highlight w:val="none"/>
        </w:rPr>
      </w:pPr>
      <w:r>
        <w:rPr>
          <w:color w:val="auto"/>
          <w:highlight w:val="none"/>
        </w:rPr>
        <w:t xml:space="preserve">2 </w:t>
      </w:r>
      <w:r>
        <w:rPr>
          <w:rFonts w:hint="eastAsia"/>
          <w:color w:val="auto"/>
          <w:highlight w:val="none"/>
        </w:rPr>
        <w:t>波形处理</w:t>
      </w:r>
    </w:p>
    <w:p w14:paraId="7C36BBA9">
      <w:pPr>
        <w:pStyle w:val="53"/>
        <w:kinsoku/>
        <w:overflowPunct/>
        <w:bidi w:val="0"/>
        <w:spacing w:line="360" w:lineRule="auto"/>
        <w:ind w:firstLine="525" w:firstLineChars="250"/>
        <w:rPr>
          <w:color w:val="auto"/>
          <w:highlight w:val="none"/>
        </w:rPr>
      </w:pPr>
      <w:r>
        <w:rPr>
          <w:color w:val="auto"/>
          <w:highlight w:val="none"/>
        </w:rPr>
        <w:t>1</w:t>
      </w:r>
      <w:r>
        <w:rPr>
          <w:rFonts w:hint="eastAsia"/>
          <w:color w:val="auto"/>
          <w:highlight w:val="none"/>
        </w:rPr>
        <w:t>）波形基线的确定</w:t>
      </w:r>
    </w:p>
    <w:p w14:paraId="2BDBEC6C">
      <w:pPr>
        <w:pStyle w:val="53"/>
        <w:kinsoku/>
        <w:overflowPunct/>
        <w:bidi w:val="0"/>
        <w:spacing w:line="360" w:lineRule="auto"/>
        <w:ind w:firstLine="525" w:firstLineChars="250"/>
        <w:rPr>
          <w:color w:val="auto"/>
          <w:highlight w:val="none"/>
        </w:rPr>
      </w:pPr>
      <w:r>
        <w:rPr>
          <w:rFonts w:hint="eastAsia"/>
          <w:color w:val="auto"/>
          <w:highlight w:val="none"/>
        </w:rPr>
        <w:t>当采用对称贴片时，应分别取对称应变计测试信号的平均值作为数据处理时的入射波、反射波和透射波。</w:t>
      </w:r>
    </w:p>
    <w:p w14:paraId="2F09AE4C">
      <w:pPr>
        <w:pStyle w:val="53"/>
        <w:kinsoku/>
        <w:overflowPunct/>
        <w:bidi w:val="0"/>
        <w:spacing w:line="360" w:lineRule="auto"/>
        <w:ind w:firstLine="525" w:firstLineChars="250"/>
        <w:rPr>
          <w:color w:val="auto"/>
          <w:highlight w:val="none"/>
        </w:rPr>
      </w:pPr>
      <w:r>
        <w:rPr>
          <w:rFonts w:hint="eastAsia"/>
          <w:color w:val="auto"/>
          <w:highlight w:val="none"/>
        </w:rPr>
        <w:t>取入射波起点前平直段数据的平均值作为入射波和反射波的波形基线值；取透射波起点前平直段数据的平均值作为透射波的波形基线值。数据处理时，应使入射波、反射波和透射波的波形基线归零。</w:t>
      </w:r>
    </w:p>
    <w:p w14:paraId="217062E4">
      <w:pPr>
        <w:pStyle w:val="53"/>
        <w:kinsoku/>
        <w:overflowPunct/>
        <w:bidi w:val="0"/>
        <w:spacing w:line="360" w:lineRule="auto"/>
        <w:ind w:firstLine="525" w:firstLineChars="250"/>
        <w:rPr>
          <w:color w:val="auto"/>
          <w:highlight w:val="none"/>
        </w:rPr>
      </w:pPr>
      <w:r>
        <w:rPr>
          <w:color w:val="auto"/>
          <w:highlight w:val="none"/>
        </w:rPr>
        <w:t>2</w:t>
      </w:r>
      <w:r>
        <w:rPr>
          <w:rFonts w:hint="eastAsia"/>
          <w:color w:val="auto"/>
          <w:highlight w:val="none"/>
        </w:rPr>
        <w:t>）波形起点的确定</w:t>
      </w:r>
    </w:p>
    <w:p w14:paraId="7CD01419">
      <w:pPr>
        <w:pStyle w:val="53"/>
        <w:kinsoku/>
        <w:overflowPunct/>
        <w:bidi w:val="0"/>
        <w:spacing w:line="360" w:lineRule="auto"/>
        <w:ind w:firstLine="525" w:firstLineChars="250"/>
        <w:rPr>
          <w:color w:val="auto"/>
          <w:highlight w:val="none"/>
        </w:rPr>
      </w:pPr>
      <w:r>
        <w:rPr>
          <w:rFonts w:hint="eastAsia"/>
          <w:color w:val="auto"/>
          <w:highlight w:val="none"/>
        </w:rPr>
        <w:t>根据入射波、反射波和透射波的波形，确定对应的波形起点。所确定的起点应在对应波形的基线上且靠近波形的起跳点，推荐采用的确定入射波、反射波和透射波起点的方法如下：</w:t>
      </w:r>
    </w:p>
    <w:p w14:paraId="65761D47">
      <w:pPr>
        <w:pStyle w:val="53"/>
        <w:kinsoku/>
        <w:overflowPunct/>
        <w:bidi w:val="0"/>
        <w:spacing w:line="360" w:lineRule="auto"/>
        <w:ind w:firstLine="525" w:firstLineChars="250"/>
        <w:rPr>
          <w:color w:val="auto"/>
          <w:highlight w:val="none"/>
        </w:rPr>
      </w:pPr>
      <w:r>
        <w:rPr>
          <w:rFonts w:hint="eastAsia"/>
          <w:color w:val="auto"/>
          <w:highlight w:val="none"/>
        </w:rPr>
        <w:t>①根据入射波采集信号，选取入射波前一定量数据点（如采样频率为</w:t>
      </w:r>
      <w:r>
        <w:rPr>
          <w:color w:val="auto"/>
          <w:highlight w:val="none"/>
        </w:rPr>
        <w:t>5MHz</w:t>
      </w:r>
      <w:r>
        <w:rPr>
          <w:rFonts w:hint="eastAsia"/>
          <w:color w:val="auto"/>
          <w:highlight w:val="none"/>
        </w:rPr>
        <w:t>，取</w:t>
      </w:r>
      <w:r>
        <w:rPr>
          <w:color w:val="auto"/>
          <w:highlight w:val="none"/>
        </w:rPr>
        <w:t>100</w:t>
      </w:r>
      <w:r>
        <w:rPr>
          <w:rFonts w:hint="eastAsia"/>
          <w:color w:val="auto"/>
          <w:highlight w:val="none"/>
        </w:rPr>
        <w:t>个数据点）计算平均值，确定采集信号基线；</w:t>
      </w:r>
    </w:p>
    <w:p w14:paraId="7F4E2A38">
      <w:pPr>
        <w:pStyle w:val="53"/>
        <w:kinsoku/>
        <w:overflowPunct/>
        <w:bidi w:val="0"/>
        <w:spacing w:line="360" w:lineRule="auto"/>
        <w:ind w:firstLine="525" w:firstLineChars="250"/>
        <w:rPr>
          <w:color w:val="auto"/>
          <w:highlight w:val="none"/>
        </w:rPr>
      </w:pPr>
      <w:r>
        <w:rPr>
          <w:rFonts w:hint="eastAsia"/>
          <w:color w:val="auto"/>
          <w:highlight w:val="none"/>
        </w:rPr>
        <w:t>②根据入射波波形确定入射波最大值；</w:t>
      </w:r>
    </w:p>
    <w:p w14:paraId="586A64B0">
      <w:pPr>
        <w:pStyle w:val="53"/>
        <w:kinsoku/>
        <w:overflowPunct/>
        <w:bidi w:val="0"/>
        <w:spacing w:line="360" w:lineRule="auto"/>
        <w:ind w:firstLine="525" w:firstLineChars="250"/>
        <w:rPr>
          <w:color w:val="auto"/>
          <w:highlight w:val="none"/>
        </w:rPr>
      </w:pPr>
      <w:r>
        <w:rPr>
          <w:rFonts w:hint="eastAsia"/>
          <w:color w:val="auto"/>
          <w:highlight w:val="none"/>
        </w:rPr>
        <w:t>③确定入射波上升至其最大值十分之一的时刻及其所对的离散数据点；</w:t>
      </w:r>
    </w:p>
    <w:p w14:paraId="05BC1ED5">
      <w:pPr>
        <w:pStyle w:val="53"/>
        <w:kinsoku/>
        <w:overflowPunct/>
        <w:bidi w:val="0"/>
        <w:spacing w:line="360" w:lineRule="auto"/>
        <w:ind w:firstLine="525" w:firstLineChars="250"/>
        <w:rPr>
          <w:color w:val="auto"/>
          <w:highlight w:val="none"/>
        </w:rPr>
      </w:pPr>
      <w:r>
        <w:rPr>
          <w:rFonts w:hint="eastAsia"/>
          <w:color w:val="auto"/>
          <w:highlight w:val="none"/>
        </w:rPr>
        <w:t>④取入射波最大值十分之一对应时刻及向后取一定量数据点（如采样频率为</w:t>
      </w:r>
      <w:r>
        <w:rPr>
          <w:color w:val="auto"/>
          <w:highlight w:val="none"/>
        </w:rPr>
        <w:t>5MHz</w:t>
      </w:r>
      <w:r>
        <w:rPr>
          <w:rFonts w:hint="eastAsia"/>
          <w:color w:val="auto"/>
          <w:highlight w:val="none"/>
        </w:rPr>
        <w:t>，取</w:t>
      </w:r>
      <w:r>
        <w:rPr>
          <w:color w:val="auto"/>
          <w:highlight w:val="none"/>
        </w:rPr>
        <w:t>50</w:t>
      </w:r>
      <w:r>
        <w:rPr>
          <w:rFonts w:hint="eastAsia"/>
          <w:color w:val="auto"/>
          <w:highlight w:val="none"/>
        </w:rPr>
        <w:t>个数据点）拟合作直线，将该直线与基线交点对应时刻作为入射波的起点</w:t>
      </w:r>
      <w:r>
        <w:rPr>
          <w:color w:val="auto"/>
          <w:highlight w:val="none"/>
        </w:rPr>
        <w:t>n</w:t>
      </w:r>
      <w:r>
        <w:rPr>
          <w:color w:val="auto"/>
          <w:highlight w:val="none"/>
          <w:vertAlign w:val="subscript"/>
        </w:rPr>
        <w:t>1</w:t>
      </w:r>
      <w:r>
        <w:rPr>
          <w:rFonts w:hint="eastAsia"/>
          <w:color w:val="auto"/>
          <w:highlight w:val="none"/>
        </w:rPr>
        <w:t>。</w:t>
      </w:r>
    </w:p>
    <w:p w14:paraId="25DD8AAD">
      <w:pPr>
        <w:pStyle w:val="53"/>
        <w:kinsoku/>
        <w:overflowPunct/>
        <w:bidi w:val="0"/>
        <w:spacing w:line="360" w:lineRule="auto"/>
        <w:ind w:firstLine="525" w:firstLineChars="250"/>
        <w:rPr>
          <w:color w:val="auto"/>
          <w:highlight w:val="none"/>
        </w:rPr>
      </w:pPr>
      <w:r>
        <w:rPr>
          <w:rFonts w:hint="eastAsia"/>
          <w:color w:val="auto"/>
          <w:highlight w:val="none"/>
        </w:rPr>
        <w:t>在确定入射波的起点后，通过式（</w:t>
      </w:r>
      <w:r>
        <w:rPr>
          <w:color w:val="auto"/>
          <w:highlight w:val="none"/>
        </w:rPr>
        <w:t>6.14.6-2</w:t>
      </w:r>
      <w:r>
        <w:rPr>
          <w:rFonts w:hint="eastAsia"/>
          <w:color w:val="auto"/>
          <w:highlight w:val="none"/>
        </w:rPr>
        <w:t>）和式（</w:t>
      </w:r>
      <w:r>
        <w:rPr>
          <w:color w:val="auto"/>
          <w:highlight w:val="none"/>
        </w:rPr>
        <w:t>6.14.6-3</w:t>
      </w:r>
      <w:r>
        <w:rPr>
          <w:rFonts w:hint="eastAsia"/>
          <w:color w:val="auto"/>
          <w:highlight w:val="none"/>
        </w:rPr>
        <w:t>）确定反射波和透射波的起点</w:t>
      </w:r>
      <w:r>
        <w:rPr>
          <w:color w:val="auto"/>
          <w:highlight w:val="none"/>
        </w:rPr>
        <w:t>:</w:t>
      </w:r>
    </w:p>
    <w:p w14:paraId="5A3E3AE5">
      <w:pPr>
        <w:pStyle w:val="53"/>
        <w:kinsoku/>
        <w:overflowPunct/>
        <w:bidi w:val="0"/>
        <w:spacing w:line="360" w:lineRule="auto"/>
        <w:ind w:firstLine="420" w:firstLineChars="200"/>
        <w:jc w:val="right"/>
        <w:rPr>
          <w:color w:val="auto"/>
          <w:highlight w:val="none"/>
        </w:rPr>
      </w:pPr>
      <w:r>
        <w:rPr>
          <w:color w:val="auto"/>
          <w:position w:val="-32"/>
          <w:highlight w:val="none"/>
        </w:rPr>
        <w:object>
          <v:shape id="_x0000_i1089" o:spt="75" type="#_x0000_t75" style="height:37.75pt;width:87.95pt;" o:ole="t" filled="f" o:preferrelative="t" stroked="f" coordsize="21600,21600">
            <v:path/>
            <v:fill on="f" focussize="0,0"/>
            <v:stroke on="f" joinstyle="miter"/>
            <v:imagedata r:id="rId171" o:title=""/>
            <o:lock v:ext="edit" aspectratio="t"/>
            <w10:wrap type="none"/>
            <w10:anchorlock/>
          </v:shape>
          <o:OLEObject Type="Embed" ProgID="Equation.DSMT4" ShapeID="_x0000_i1089" DrawAspect="Content" ObjectID="_1468075789" r:id="rId170">
            <o:LockedField>false</o:LockedField>
          </o:OLEObject>
        </w:object>
      </w:r>
      <w:r>
        <w:rPr>
          <w:color w:val="auto"/>
          <w:highlight w:val="none"/>
        </w:rPr>
        <w:t xml:space="preserve">                         </w:t>
      </w:r>
      <w:r>
        <w:rPr>
          <w:rFonts w:hint="eastAsia"/>
          <w:color w:val="auto"/>
          <w:highlight w:val="none"/>
        </w:rPr>
        <w:t>（</w:t>
      </w:r>
      <w:r>
        <w:rPr>
          <w:color w:val="auto"/>
          <w:highlight w:val="none"/>
        </w:rPr>
        <w:t>6.14.6-2</w:t>
      </w:r>
      <w:r>
        <w:rPr>
          <w:rFonts w:hint="eastAsia"/>
          <w:color w:val="auto"/>
          <w:highlight w:val="none"/>
        </w:rPr>
        <w:t>）</w:t>
      </w:r>
    </w:p>
    <w:p w14:paraId="5DABADFC">
      <w:pPr>
        <w:pStyle w:val="53"/>
        <w:kinsoku/>
        <w:overflowPunct/>
        <w:bidi w:val="0"/>
        <w:spacing w:line="360" w:lineRule="auto"/>
        <w:ind w:firstLine="420" w:firstLineChars="200"/>
        <w:jc w:val="right"/>
        <w:rPr>
          <w:color w:val="auto"/>
          <w:highlight w:val="none"/>
        </w:rPr>
      </w:pPr>
      <w:r>
        <w:rPr>
          <w:color w:val="auto"/>
          <w:position w:val="-32"/>
          <w:highlight w:val="none"/>
        </w:rPr>
        <w:object>
          <v:shape id="_x0000_i1090" o:spt="75" type="#_x0000_t75" style="height:37.75pt;width:130pt;" o:ole="t" filled="f" o:preferrelative="t" stroked="f" coordsize="21600,21600">
            <v:path/>
            <v:fill on="f" focussize="0,0"/>
            <v:stroke on="f" joinstyle="miter"/>
            <v:imagedata r:id="rId173" o:title=""/>
            <o:lock v:ext="edit" aspectratio="t"/>
            <w10:wrap type="none"/>
            <w10:anchorlock/>
          </v:shape>
          <o:OLEObject Type="Embed" ProgID="Equation.DSMT4" ShapeID="_x0000_i1090" DrawAspect="Content" ObjectID="_1468075790" r:id="rId172">
            <o:LockedField>false</o:LockedField>
          </o:OLEObject>
        </w:object>
      </w:r>
      <w:r>
        <w:rPr>
          <w:color w:val="auto"/>
          <w:highlight w:val="none"/>
        </w:rPr>
        <w:t xml:space="preserve">                    </w:t>
      </w:r>
      <w:r>
        <w:rPr>
          <w:rFonts w:hint="eastAsia"/>
          <w:color w:val="auto"/>
          <w:highlight w:val="none"/>
        </w:rPr>
        <w:t>（</w:t>
      </w:r>
      <w:r>
        <w:rPr>
          <w:color w:val="auto"/>
          <w:highlight w:val="none"/>
        </w:rPr>
        <w:t>6.14.6-3</w:t>
      </w:r>
      <w:r>
        <w:rPr>
          <w:rFonts w:hint="eastAsia"/>
          <w:color w:val="auto"/>
          <w:highlight w:val="none"/>
        </w:rPr>
        <w:t>）</w:t>
      </w:r>
    </w:p>
    <w:p w14:paraId="35E35778">
      <w:pPr>
        <w:pStyle w:val="53"/>
        <w:kinsoku/>
        <w:overflowPunct/>
        <w:bidi w:val="0"/>
        <w:spacing w:line="360" w:lineRule="auto"/>
        <w:ind w:firstLine="525" w:firstLineChars="250"/>
        <w:rPr>
          <w:color w:val="auto"/>
          <w:highlight w:val="none"/>
        </w:rPr>
      </w:pPr>
      <w:r>
        <w:rPr>
          <w:rFonts w:hint="eastAsia"/>
          <w:color w:val="auto"/>
          <w:highlight w:val="none"/>
        </w:rPr>
        <w:t>式中：</w:t>
      </w:r>
      <w:r>
        <w:rPr>
          <w:color w:val="auto"/>
          <w:highlight w:val="none"/>
        </w:rPr>
        <w:t>int[]</w:t>
      </w:r>
      <w:r>
        <w:rPr>
          <w:rFonts w:hint="eastAsia"/>
          <w:color w:val="auto"/>
          <w:highlight w:val="none"/>
        </w:rPr>
        <w:t>——取整函数。</w:t>
      </w:r>
    </w:p>
    <w:p w14:paraId="768E860A">
      <w:pPr>
        <w:pStyle w:val="53"/>
        <w:kinsoku/>
        <w:overflowPunct/>
        <w:bidi w:val="0"/>
        <w:spacing w:line="360" w:lineRule="auto"/>
        <w:ind w:firstLine="525" w:firstLineChars="250"/>
        <w:rPr>
          <w:color w:val="auto"/>
          <w:highlight w:val="none"/>
        </w:rPr>
      </w:pPr>
      <w:r>
        <w:rPr>
          <w:color w:val="auto"/>
          <w:highlight w:val="none"/>
        </w:rPr>
        <w:t>3</w:t>
      </w:r>
      <w:r>
        <w:rPr>
          <w:rFonts w:hint="eastAsia"/>
          <w:color w:val="auto"/>
          <w:highlight w:val="none"/>
        </w:rPr>
        <w:t>）对齐波形起点</w:t>
      </w:r>
    </w:p>
    <w:p w14:paraId="54B91ED9">
      <w:pPr>
        <w:pStyle w:val="53"/>
        <w:kinsoku/>
        <w:overflowPunct/>
        <w:bidi w:val="0"/>
        <w:spacing w:line="360" w:lineRule="auto"/>
        <w:ind w:firstLine="525" w:firstLineChars="250"/>
        <w:rPr>
          <w:color w:val="auto"/>
          <w:highlight w:val="none"/>
        </w:rPr>
      </w:pPr>
      <w:r>
        <w:rPr>
          <w:rFonts w:hint="eastAsia"/>
          <w:color w:val="auto"/>
          <w:highlight w:val="none"/>
        </w:rPr>
        <w:t>移动入射波、反射波和透射波，使其起点位于相同的时刻，并以此时刻作为数据处理中的起始时刻起点对齐后的入射波、反射波和透射波应满足均匀化假设，即满足式（</w:t>
      </w:r>
      <w:r>
        <w:rPr>
          <w:color w:val="auto"/>
          <w:highlight w:val="none"/>
        </w:rPr>
        <w:t>6.14.6-4</w:t>
      </w:r>
      <w:r>
        <w:rPr>
          <w:rFonts w:hint="eastAsia"/>
          <w:color w:val="auto"/>
          <w:highlight w:val="none"/>
        </w:rPr>
        <w:t>）：</w:t>
      </w:r>
    </w:p>
    <w:p w14:paraId="13CF7C84">
      <w:pPr>
        <w:pStyle w:val="53"/>
        <w:kinsoku/>
        <w:overflowPunct/>
        <w:bidi w:val="0"/>
        <w:spacing w:line="360" w:lineRule="auto"/>
        <w:ind w:firstLine="420" w:firstLineChars="200"/>
        <w:jc w:val="right"/>
        <w:rPr>
          <w:color w:val="auto"/>
          <w:highlight w:val="none"/>
        </w:rPr>
      </w:pPr>
      <w:r>
        <w:rPr>
          <w:color w:val="auto"/>
          <w:position w:val="-14"/>
          <w:highlight w:val="none"/>
        </w:rPr>
        <w:object>
          <v:shape id="_x0000_i1091" o:spt="75" type="#_x0000_t75" style="height:20.25pt;width:100pt;" o:ole="t" filled="f" o:preferrelative="t" stroked="f" coordsize="21600,21600">
            <v:path/>
            <v:fill on="f" focussize="0,0"/>
            <v:stroke on="f" joinstyle="miter"/>
            <v:imagedata r:id="rId175" o:title=""/>
            <o:lock v:ext="edit" aspectratio="t"/>
            <w10:wrap type="none"/>
            <w10:anchorlock/>
          </v:shape>
          <o:OLEObject Type="Embed" ProgID="Equation.DSMT4" ShapeID="_x0000_i1091" DrawAspect="Content" ObjectID="_1468075791" r:id="rId174">
            <o:LockedField>false</o:LockedField>
          </o:OLEObject>
        </w:object>
      </w:r>
      <w:r>
        <w:rPr>
          <w:color w:val="auto"/>
          <w:highlight w:val="none"/>
        </w:rPr>
        <w:t xml:space="preserve">                         </w:t>
      </w:r>
      <w:r>
        <w:rPr>
          <w:rFonts w:hint="eastAsia"/>
          <w:color w:val="auto"/>
          <w:highlight w:val="none"/>
        </w:rPr>
        <w:t>（</w:t>
      </w:r>
      <w:r>
        <w:rPr>
          <w:color w:val="auto"/>
          <w:highlight w:val="none"/>
        </w:rPr>
        <w:t>6.14.6-4</w:t>
      </w:r>
      <w:r>
        <w:rPr>
          <w:rFonts w:hint="eastAsia"/>
          <w:color w:val="auto"/>
          <w:highlight w:val="none"/>
        </w:rPr>
        <w:t>）</w:t>
      </w:r>
    </w:p>
    <w:p w14:paraId="53A4121E">
      <w:pPr>
        <w:pStyle w:val="53"/>
        <w:kinsoku/>
        <w:overflowPunct/>
        <w:bidi w:val="0"/>
        <w:spacing w:line="360" w:lineRule="auto"/>
        <w:ind w:firstLine="525" w:firstLineChars="250"/>
        <w:rPr>
          <w:i/>
          <w:iCs/>
          <w:color w:val="auto"/>
          <w:highlight w:val="none"/>
        </w:rPr>
      </w:pPr>
      <w:r>
        <w:rPr>
          <w:color w:val="auto"/>
          <w:highlight w:val="none"/>
        </w:rPr>
        <w:t>4</w:t>
      </w:r>
      <w:r>
        <w:rPr>
          <w:rFonts w:hint="eastAsia"/>
          <w:color w:val="auto"/>
          <w:highlight w:val="none"/>
        </w:rPr>
        <w:t>）应力波作用终点</w:t>
      </w:r>
      <w:r>
        <w:rPr>
          <w:rFonts w:hint="eastAsia"/>
          <w:i/>
          <w:iCs/>
          <w:color w:val="auto"/>
          <w:highlight w:val="none"/>
        </w:rPr>
        <w:t>t</w:t>
      </w:r>
      <w:r>
        <w:rPr>
          <w:rFonts w:hint="eastAsia"/>
          <w:color w:val="auto"/>
          <w:highlight w:val="none"/>
          <w:vertAlign w:val="subscript"/>
        </w:rPr>
        <w:t>w</w:t>
      </w:r>
      <w:r>
        <w:rPr>
          <w:rFonts w:hint="eastAsia"/>
          <w:color w:val="auto"/>
          <w:highlight w:val="none"/>
          <w:vertAlign w:val="baseline"/>
          <w:lang w:eastAsia="zh"/>
          <w:woUserID w:val="3"/>
        </w:rPr>
        <w:t>和</w:t>
      </w:r>
      <w:r>
        <w:rPr>
          <w:rFonts w:hint="eastAsia"/>
          <w:color w:val="auto"/>
          <w:highlight w:val="none"/>
          <w:woUserID w:val="3"/>
        </w:rPr>
        <w:t>应力波作用时间</w:t>
      </w:r>
      <w:r>
        <w:rPr>
          <w:rFonts w:hint="eastAsia"/>
          <w:color w:val="auto"/>
          <w:highlight w:val="none"/>
        </w:rPr>
        <w:t>的确定</w:t>
      </w:r>
    </w:p>
    <w:p w14:paraId="3F25A355">
      <w:pPr>
        <w:pStyle w:val="53"/>
        <w:kinsoku/>
        <w:overflowPunct/>
        <w:bidi w:val="0"/>
        <w:spacing w:line="360" w:lineRule="auto"/>
        <w:ind w:firstLine="525" w:firstLineChars="250"/>
        <w:rPr>
          <w:color w:val="auto"/>
          <w:highlight w:val="none"/>
        </w:rPr>
      </w:pPr>
      <w:r>
        <w:rPr>
          <w:rFonts w:hint="eastAsia"/>
          <w:color w:val="auto"/>
          <w:highlight w:val="none"/>
        </w:rPr>
        <w:t>由公式（</w:t>
      </w:r>
      <w:r>
        <w:rPr>
          <w:bCs w:val="0"/>
          <w:color w:val="auto"/>
          <w:kern w:val="2"/>
          <w:szCs w:val="24"/>
          <w:highlight w:val="none"/>
        </w:rPr>
        <w:t>6.14.2-</w:t>
      </w:r>
      <w:r>
        <w:rPr>
          <w:rFonts w:hint="eastAsia"/>
          <w:color w:val="auto"/>
          <w:highlight w:val="none"/>
        </w:rPr>
        <w:t>2）计算得到冲击压缩试样的工程压缩应变速率，绘制工程压缩应变速率—时间曲线，如图</w:t>
      </w:r>
      <w:r>
        <w:rPr>
          <w:bCs w:val="0"/>
          <w:color w:val="auto"/>
          <w:kern w:val="2"/>
          <w:szCs w:val="24"/>
          <w:highlight w:val="none"/>
        </w:rPr>
        <w:t>6.1</w:t>
      </w:r>
      <w:r>
        <w:rPr>
          <w:rFonts w:hint="eastAsia"/>
          <w:bCs w:val="0"/>
          <w:color w:val="auto"/>
          <w:kern w:val="2"/>
          <w:szCs w:val="24"/>
          <w:highlight w:val="none"/>
        </w:rPr>
        <w:t>4.</w:t>
      </w:r>
      <w:r>
        <w:rPr>
          <w:rFonts w:hint="eastAsia"/>
          <w:bCs w:val="0"/>
          <w:color w:val="auto"/>
          <w:kern w:val="2"/>
          <w:szCs w:val="24"/>
          <w:highlight w:val="none"/>
          <w:lang w:eastAsia="zh"/>
          <w:woUserID w:val="3"/>
        </w:rPr>
        <w:t>6</w:t>
      </w:r>
      <w:r>
        <w:rPr>
          <w:rFonts w:hint="eastAsia"/>
          <w:color w:val="auto"/>
          <w:highlight w:val="none"/>
        </w:rPr>
        <w:t>所示。</w:t>
      </w:r>
    </w:p>
    <w:p w14:paraId="35B8DFED">
      <w:pPr>
        <w:pStyle w:val="53"/>
        <w:kinsoku/>
        <w:overflowPunct/>
        <w:bidi w:val="0"/>
        <w:spacing w:line="360" w:lineRule="auto"/>
        <w:ind w:firstLine="525" w:firstLineChars="250"/>
        <w:rPr>
          <w:strike/>
          <w:color w:val="auto"/>
          <w:highlight w:val="none"/>
        </w:rPr>
      </w:pPr>
      <w:r>
        <w:rPr>
          <w:rFonts w:hint="eastAsia"/>
          <w:color w:val="auto"/>
          <w:highlight w:val="none"/>
        </w:rPr>
        <w:t>若工程压缩应变速率—时间曲线存在一个近似的平台阶段，</w:t>
      </w:r>
      <w:r>
        <w:rPr>
          <w:rFonts w:hint="eastAsia"/>
          <w:color w:val="auto"/>
          <w:highlight w:val="none"/>
          <w:lang w:eastAsia="zh"/>
          <w:woUserID w:val="3"/>
        </w:rPr>
        <w:t>宜</w:t>
      </w:r>
      <w:r>
        <w:rPr>
          <w:rFonts w:hint="eastAsia"/>
          <w:color w:val="auto"/>
          <w:highlight w:val="none"/>
        </w:rPr>
        <w:t>平台阶段开始点为试样达到应力平衡状态的时刻</w:t>
      </w:r>
      <w:r>
        <w:rPr>
          <w:rFonts w:hint="eastAsia"/>
          <w:color w:val="auto"/>
          <w:highlight w:val="none"/>
          <w:lang w:eastAsia="zh"/>
          <w:woUserID w:val="3"/>
        </w:rPr>
        <w:t>（</w:t>
      </w:r>
      <w:r>
        <w:rPr>
          <w:rFonts w:hint="eastAsia"/>
          <w:i/>
          <w:iCs/>
          <w:color w:val="auto"/>
          <w:highlight w:val="none"/>
          <w:woUserID w:val="3"/>
        </w:rPr>
        <w:t>t</w:t>
      </w:r>
      <w:r>
        <w:rPr>
          <w:rFonts w:hint="eastAsia"/>
          <w:i w:val="0"/>
          <w:iCs w:val="0"/>
          <w:color w:val="auto"/>
          <w:highlight w:val="none"/>
          <w:vertAlign w:val="subscript"/>
          <w:lang w:eastAsia="zh"/>
          <w:woUserID w:val="3"/>
        </w:rPr>
        <w:t>0</w:t>
      </w:r>
      <w:r>
        <w:rPr>
          <w:rFonts w:hint="eastAsia"/>
          <w:color w:val="auto"/>
          <w:highlight w:val="none"/>
          <w:vertAlign w:val="baseline"/>
          <w:lang w:eastAsia="zh"/>
          <w:woUserID w:val="0"/>
        </w:rPr>
        <w:t>）</w:t>
      </w:r>
      <w:r>
        <w:rPr>
          <w:rFonts w:hint="eastAsia"/>
          <w:color w:val="auto"/>
          <w:highlight w:val="none"/>
        </w:rPr>
        <w:t>，宜以结束点为试样的破坏时刻</w:t>
      </w:r>
      <w:r>
        <w:rPr>
          <w:rFonts w:hint="eastAsia"/>
          <w:color w:val="auto"/>
          <w:highlight w:val="none"/>
          <w:lang w:eastAsia="zh"/>
          <w:woUserID w:val="3"/>
        </w:rPr>
        <w:t>，即</w:t>
      </w:r>
      <w:r>
        <w:rPr>
          <w:rFonts w:hint="eastAsia"/>
          <w:color w:val="auto"/>
          <w:highlight w:val="none"/>
          <w:woUserID w:val="3"/>
        </w:rPr>
        <w:t>应力波作用终点</w:t>
      </w:r>
      <w:r>
        <w:rPr>
          <w:rFonts w:hint="eastAsia"/>
          <w:i/>
          <w:iCs/>
          <w:color w:val="auto"/>
          <w:highlight w:val="none"/>
          <w:woUserID w:val="3"/>
        </w:rPr>
        <w:t>t</w:t>
      </w:r>
      <w:r>
        <w:rPr>
          <w:rFonts w:hint="eastAsia"/>
          <w:color w:val="auto"/>
          <w:highlight w:val="none"/>
          <w:vertAlign w:val="subscript"/>
          <w:woUserID w:val="3"/>
        </w:rPr>
        <w:t>w</w:t>
      </w:r>
      <w:r>
        <w:rPr>
          <w:rFonts w:hint="eastAsia"/>
          <w:color w:val="auto"/>
          <w:highlight w:val="none"/>
        </w:rPr>
        <w:t>，至此为应力波作用时间。</w:t>
      </w:r>
    </w:p>
    <w:p w14:paraId="23D4B063">
      <w:pPr>
        <w:pStyle w:val="53"/>
        <w:kinsoku/>
        <w:overflowPunct/>
        <w:bidi w:val="0"/>
        <w:spacing w:line="360" w:lineRule="auto"/>
        <w:ind w:firstLine="525" w:firstLineChars="250"/>
        <w:jc w:val="center"/>
        <w:rPr>
          <w:color w:val="auto"/>
          <w:highlight w:val="none"/>
        </w:rPr>
      </w:pPr>
      <w:r>
        <w:rPr>
          <w:color w:val="auto"/>
          <w:highlight w:val="none"/>
        </w:rPr>
        <w:drawing>
          <wp:inline distT="0" distB="0" distL="0" distR="0">
            <wp:extent cx="2319020" cy="1821815"/>
            <wp:effectExtent l="0" t="0" r="5080" b="6985"/>
            <wp:docPr id="948915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15721" name="图片 1"/>
                    <pic:cNvPicPr>
                      <a:picLocks noChangeAspect="1"/>
                    </pic:cNvPicPr>
                  </pic:nvPicPr>
                  <pic:blipFill>
                    <a:blip r:embed="rId176"/>
                    <a:stretch>
                      <a:fillRect/>
                    </a:stretch>
                  </pic:blipFill>
                  <pic:spPr>
                    <a:xfrm>
                      <a:off x="0" y="0"/>
                      <a:ext cx="2326413" cy="1827161"/>
                    </a:xfrm>
                    <a:prstGeom prst="rect">
                      <a:avLst/>
                    </a:prstGeom>
                  </pic:spPr>
                </pic:pic>
              </a:graphicData>
            </a:graphic>
          </wp:inline>
        </w:drawing>
      </w:r>
    </w:p>
    <w:p w14:paraId="320CF090">
      <w:pPr>
        <w:pStyle w:val="53"/>
        <w:kinsoku/>
        <w:overflowPunct/>
        <w:bidi w:val="0"/>
        <w:spacing w:line="360" w:lineRule="auto"/>
        <w:ind w:firstLine="0" w:firstLineChars="0"/>
        <w:jc w:val="center"/>
        <w:rPr>
          <w:color w:val="auto"/>
          <w:highlight w:val="none"/>
        </w:rPr>
      </w:pP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w:t>
      </w:r>
      <w:r>
        <w:rPr>
          <w:rFonts w:hint="eastAsia"/>
          <w:bCs w:val="0"/>
          <w:color w:val="auto"/>
          <w:kern w:val="2"/>
          <w:szCs w:val="24"/>
          <w:highlight w:val="none"/>
          <w:lang w:eastAsia="zh"/>
          <w:woUserID w:val="3"/>
        </w:rPr>
        <w:t>6</w:t>
      </w:r>
      <w:r>
        <w:rPr>
          <w:rFonts w:hint="eastAsia"/>
          <w:bCs w:val="0"/>
          <w:color w:val="auto"/>
          <w:kern w:val="2"/>
          <w:szCs w:val="24"/>
          <w:highlight w:val="none"/>
        </w:rPr>
        <w:t xml:space="preserve"> </w:t>
      </w:r>
      <w:r>
        <w:rPr>
          <w:rFonts w:hint="eastAsia"/>
          <w:color w:val="auto"/>
          <w:highlight w:val="none"/>
        </w:rPr>
        <w:t>应力波作用时间确定方法</w:t>
      </w:r>
    </w:p>
    <w:p w14:paraId="720D8EBA">
      <w:pPr>
        <w:pStyle w:val="53"/>
        <w:kinsoku/>
        <w:overflowPunct/>
        <w:bidi w:val="0"/>
        <w:spacing w:line="360" w:lineRule="auto"/>
        <w:ind w:firstLine="525" w:firstLineChars="250"/>
        <w:rPr>
          <w:color w:val="auto"/>
          <w:highlight w:val="none"/>
        </w:rPr>
      </w:pPr>
      <w:r>
        <w:rPr>
          <w:rFonts w:hint="eastAsia"/>
          <w:color w:val="auto"/>
          <w:highlight w:val="none"/>
        </w:rPr>
        <w:t>若工程压缩应变速率—时间曲线不存在一个近似的平台阶段，宜以波形进入下降沿前的最后一个极大值点作为入射波的末点，至此为应力波作用时间。</w:t>
      </w:r>
    </w:p>
    <w:p w14:paraId="1485FAD5">
      <w:pPr>
        <w:pStyle w:val="53"/>
        <w:kinsoku/>
        <w:overflowPunct/>
        <w:bidi w:val="0"/>
        <w:spacing w:line="360" w:lineRule="auto"/>
        <w:rPr>
          <w:rFonts w:hint="eastAsia" w:eastAsia="宋体"/>
          <w:color w:val="auto"/>
          <w:highlight w:val="none"/>
          <w:lang w:eastAsia="zh-CN"/>
        </w:rPr>
      </w:pPr>
      <w:r>
        <w:rPr>
          <w:color w:val="auto"/>
          <w:highlight w:val="none"/>
        </w:rPr>
        <w:t xml:space="preserve">3 </w:t>
      </w:r>
      <w:r>
        <w:rPr>
          <w:rFonts w:hint="eastAsia"/>
          <w:color w:val="auto"/>
          <w:highlight w:val="none"/>
          <w:lang w:val="nb-NO"/>
        </w:rPr>
        <w:t>力学性能的</w:t>
      </w:r>
      <w:r>
        <w:rPr>
          <w:rFonts w:hint="eastAsia"/>
          <w:color w:val="auto"/>
          <w:highlight w:val="none"/>
          <w:lang w:val="en-US" w:eastAsia="zh-CN"/>
        </w:rPr>
        <w:t>计算</w:t>
      </w:r>
    </w:p>
    <w:p w14:paraId="4DD49365">
      <w:pPr>
        <w:widowControl/>
        <w:kinsoku/>
        <w:overflowPunct/>
        <w:bidi w:val="0"/>
        <w:spacing w:before="50" w:line="360" w:lineRule="auto"/>
        <w:ind w:firstLine="420" w:firstLineChars="200"/>
        <w:jc w:val="left"/>
        <w:rPr>
          <w:color w:val="auto"/>
          <w:highlight w:val="none"/>
          <w:lang w:val="nb-NO"/>
        </w:rPr>
      </w:pPr>
      <w:r>
        <w:rPr>
          <w:rFonts w:hint="eastAsia"/>
          <w:color w:val="auto"/>
          <w:highlight w:val="none"/>
          <w:lang w:val="nb-NO"/>
        </w:rPr>
        <w:t>基于入射波、反射波和透射波信号计算试样材料应变速率、应变、应力曲线，获得材料在高应变速率下压缩应力—应变曲线、动态抗压强度、峰值应变、动态增强因子</w:t>
      </w:r>
      <w:r>
        <w:rPr>
          <w:i/>
          <w:iCs/>
          <w:color w:val="auto"/>
          <w:highlight w:val="none"/>
          <w:lang w:val="nb-NO"/>
        </w:rPr>
        <w:t>DIF</w:t>
      </w:r>
      <w:r>
        <w:rPr>
          <w:rFonts w:hint="eastAsia"/>
          <w:color w:val="auto"/>
          <w:highlight w:val="none"/>
          <w:lang w:val="nb-NO"/>
        </w:rPr>
        <w:t>。</w:t>
      </w:r>
    </w:p>
    <w:p w14:paraId="6F277609">
      <w:pPr>
        <w:pStyle w:val="53"/>
        <w:kinsoku/>
        <w:overflowPunct/>
        <w:bidi w:val="0"/>
        <w:spacing w:line="360" w:lineRule="auto"/>
        <w:ind w:firstLine="525" w:firstLineChars="250"/>
        <w:rPr>
          <w:color w:val="auto"/>
          <w:highlight w:val="none"/>
          <w:lang w:val="nb-NO"/>
        </w:rPr>
      </w:pPr>
      <w:r>
        <w:rPr>
          <w:color w:val="auto"/>
          <w:highlight w:val="none"/>
          <w:lang w:val="nb-NO"/>
        </w:rPr>
        <w:t>1</w:t>
      </w:r>
      <w:r>
        <w:rPr>
          <w:rFonts w:hint="eastAsia"/>
          <w:color w:val="auto"/>
          <w:highlight w:val="none"/>
          <w:lang w:val="nb-NO"/>
        </w:rPr>
        <w:t>）工程</w:t>
      </w:r>
      <w:r>
        <w:rPr>
          <w:rFonts w:hint="eastAsia"/>
          <w:color w:val="auto"/>
          <w:highlight w:val="none"/>
        </w:rPr>
        <w:t>压缩应变</w:t>
      </w:r>
      <w:r>
        <w:rPr>
          <w:rFonts w:hint="eastAsia"/>
          <w:color w:val="auto"/>
          <w:highlight w:val="none"/>
          <w:lang w:val="nb-NO"/>
        </w:rPr>
        <w:t>速率</w:t>
      </w:r>
    </w:p>
    <w:p w14:paraId="3DD18CFF">
      <w:pPr>
        <w:pStyle w:val="53"/>
        <w:kinsoku/>
        <w:overflowPunct/>
        <w:bidi w:val="0"/>
        <w:spacing w:line="360" w:lineRule="auto"/>
        <w:ind w:firstLine="525" w:firstLineChars="250"/>
        <w:rPr>
          <w:color w:val="auto"/>
          <w:highlight w:val="none"/>
          <w:lang w:val="nb-NO"/>
        </w:rPr>
      </w:pPr>
      <w:r>
        <w:rPr>
          <w:rFonts w:hint="eastAsia"/>
          <w:color w:val="auto"/>
          <w:highlight w:val="none"/>
          <w:lang w:val="nb-NO"/>
        </w:rPr>
        <w:t>工程压缩应变速率的计算公式参见</w:t>
      </w:r>
      <w:r>
        <w:rPr>
          <w:bCs w:val="0"/>
          <w:color w:val="auto"/>
          <w:kern w:val="2"/>
          <w:szCs w:val="24"/>
          <w:highlight w:val="none"/>
        </w:rPr>
        <w:t>6.14.2</w:t>
      </w:r>
      <w:r>
        <w:rPr>
          <w:rFonts w:hint="eastAsia"/>
          <w:bCs w:val="0"/>
          <w:color w:val="auto"/>
          <w:kern w:val="2"/>
          <w:szCs w:val="24"/>
          <w:highlight w:val="none"/>
        </w:rPr>
        <w:t>条</w:t>
      </w:r>
      <w:r>
        <w:rPr>
          <w:rFonts w:hint="eastAsia"/>
          <w:color w:val="auto"/>
          <w:highlight w:val="none"/>
          <w:lang w:val="nb-NO"/>
        </w:rPr>
        <w:t>式</w:t>
      </w:r>
      <w:r>
        <w:rPr>
          <w:rFonts w:hint="eastAsia"/>
          <w:color w:val="auto"/>
          <w:highlight w:val="none"/>
        </w:rPr>
        <w:t>（</w:t>
      </w:r>
      <w:r>
        <w:rPr>
          <w:bCs w:val="0"/>
          <w:color w:val="auto"/>
          <w:kern w:val="2"/>
          <w:szCs w:val="24"/>
          <w:highlight w:val="none"/>
        </w:rPr>
        <w:t>6.14.2-</w:t>
      </w:r>
      <w:r>
        <w:rPr>
          <w:color w:val="auto"/>
          <w:highlight w:val="none"/>
        </w:rPr>
        <w:t>2</w:t>
      </w:r>
      <w:r>
        <w:rPr>
          <w:rFonts w:hint="eastAsia"/>
          <w:color w:val="auto"/>
          <w:highlight w:val="none"/>
        </w:rPr>
        <w:t>）。</w:t>
      </w:r>
    </w:p>
    <w:p w14:paraId="57E82A22">
      <w:pPr>
        <w:pStyle w:val="53"/>
        <w:kinsoku/>
        <w:overflowPunct/>
        <w:bidi w:val="0"/>
        <w:spacing w:line="360" w:lineRule="auto"/>
        <w:ind w:firstLine="525" w:firstLineChars="250"/>
        <w:rPr>
          <w:color w:val="auto"/>
          <w:highlight w:val="none"/>
          <w:lang w:val="nb-NO"/>
        </w:rPr>
      </w:pPr>
      <w:r>
        <w:rPr>
          <w:color w:val="auto"/>
          <w:highlight w:val="none"/>
          <w:lang w:val="nb-NO"/>
        </w:rPr>
        <w:t>2</w:t>
      </w:r>
      <w:r>
        <w:rPr>
          <w:rFonts w:hint="eastAsia"/>
          <w:color w:val="auto"/>
          <w:highlight w:val="none"/>
          <w:lang w:val="nb-NO"/>
        </w:rPr>
        <w:t>）工程压缩应变</w:t>
      </w:r>
    </w:p>
    <w:p w14:paraId="4D6437CF">
      <w:pPr>
        <w:pStyle w:val="53"/>
        <w:kinsoku/>
        <w:overflowPunct/>
        <w:bidi w:val="0"/>
        <w:spacing w:line="360" w:lineRule="auto"/>
        <w:ind w:firstLine="525" w:firstLineChars="250"/>
        <w:rPr>
          <w:color w:val="auto"/>
          <w:highlight w:val="none"/>
          <w:lang w:val="nb-NO"/>
        </w:rPr>
      </w:pPr>
      <w:r>
        <w:rPr>
          <w:rFonts w:hint="eastAsia"/>
          <w:color w:val="auto"/>
          <w:highlight w:val="none"/>
          <w:lang w:val="nb-NO"/>
        </w:rPr>
        <w:t>工程压缩应变的计算公式参见</w:t>
      </w:r>
      <w:r>
        <w:rPr>
          <w:bCs w:val="0"/>
          <w:color w:val="auto"/>
          <w:kern w:val="2"/>
          <w:szCs w:val="24"/>
          <w:highlight w:val="none"/>
        </w:rPr>
        <w:t>6.14.2</w:t>
      </w:r>
      <w:r>
        <w:rPr>
          <w:rFonts w:hint="eastAsia"/>
          <w:bCs w:val="0"/>
          <w:color w:val="auto"/>
          <w:kern w:val="2"/>
          <w:szCs w:val="24"/>
          <w:highlight w:val="none"/>
        </w:rPr>
        <w:t>条</w:t>
      </w:r>
      <w:r>
        <w:rPr>
          <w:rFonts w:hint="eastAsia"/>
          <w:color w:val="auto"/>
          <w:highlight w:val="none"/>
          <w:lang w:val="nb-NO"/>
        </w:rPr>
        <w:t>采用式</w:t>
      </w:r>
      <w:r>
        <w:rPr>
          <w:rFonts w:hint="eastAsia"/>
          <w:color w:val="auto"/>
          <w:highlight w:val="none"/>
        </w:rPr>
        <w:t>（</w:t>
      </w:r>
      <w:r>
        <w:rPr>
          <w:bCs w:val="0"/>
          <w:color w:val="auto"/>
          <w:kern w:val="2"/>
          <w:szCs w:val="24"/>
          <w:highlight w:val="none"/>
        </w:rPr>
        <w:t>6.14.2-</w:t>
      </w:r>
      <w:r>
        <w:rPr>
          <w:color w:val="auto"/>
          <w:highlight w:val="none"/>
        </w:rPr>
        <w:t>3</w:t>
      </w:r>
      <w:r>
        <w:rPr>
          <w:rFonts w:hint="eastAsia"/>
          <w:color w:val="auto"/>
          <w:highlight w:val="none"/>
        </w:rPr>
        <w:t>）</w:t>
      </w:r>
      <w:r>
        <w:rPr>
          <w:rFonts w:hint="eastAsia"/>
          <w:color w:val="auto"/>
          <w:highlight w:val="none"/>
          <w:lang w:val="nb-NO"/>
        </w:rPr>
        <w:t>。</w:t>
      </w:r>
    </w:p>
    <w:p w14:paraId="00A545BA">
      <w:pPr>
        <w:pStyle w:val="53"/>
        <w:kinsoku/>
        <w:overflowPunct/>
        <w:bidi w:val="0"/>
        <w:spacing w:line="360" w:lineRule="auto"/>
        <w:ind w:firstLine="525" w:firstLineChars="250"/>
        <w:rPr>
          <w:color w:val="auto"/>
          <w:highlight w:val="none"/>
          <w:lang w:val="nb-NO"/>
        </w:rPr>
      </w:pPr>
      <w:r>
        <w:rPr>
          <w:color w:val="auto"/>
          <w:highlight w:val="none"/>
          <w:lang w:val="nb-NO"/>
        </w:rPr>
        <w:t>3</w:t>
      </w:r>
      <w:r>
        <w:rPr>
          <w:rFonts w:hint="eastAsia"/>
          <w:color w:val="auto"/>
          <w:highlight w:val="none"/>
          <w:lang w:val="nb-NO"/>
        </w:rPr>
        <w:t>）工程压缩应力</w:t>
      </w:r>
    </w:p>
    <w:p w14:paraId="3CCDD236">
      <w:pPr>
        <w:pStyle w:val="53"/>
        <w:kinsoku/>
        <w:overflowPunct/>
        <w:bidi w:val="0"/>
        <w:spacing w:line="360" w:lineRule="auto"/>
        <w:ind w:firstLine="525" w:firstLineChars="250"/>
        <w:rPr>
          <w:color w:val="auto"/>
          <w:highlight w:val="none"/>
          <w:lang w:val="nb-NO"/>
        </w:rPr>
      </w:pPr>
      <w:r>
        <w:rPr>
          <w:rFonts w:hint="eastAsia"/>
          <w:color w:val="auto"/>
          <w:highlight w:val="none"/>
          <w:lang w:val="nb-NO"/>
        </w:rPr>
        <w:t>工程</w:t>
      </w:r>
      <w:r>
        <w:rPr>
          <w:rFonts w:hint="eastAsia"/>
          <w:color w:val="auto"/>
          <w:highlight w:val="none"/>
        </w:rPr>
        <w:t>压缩应力</w:t>
      </w:r>
      <w:r>
        <w:rPr>
          <w:rFonts w:hint="eastAsia"/>
          <w:color w:val="auto"/>
          <w:highlight w:val="none"/>
          <w:lang w:val="nb-NO"/>
        </w:rPr>
        <w:t>的计算公式参见</w:t>
      </w:r>
      <w:r>
        <w:rPr>
          <w:bCs w:val="0"/>
          <w:color w:val="auto"/>
          <w:kern w:val="2"/>
          <w:szCs w:val="24"/>
          <w:highlight w:val="none"/>
        </w:rPr>
        <w:t>6.14.2</w:t>
      </w:r>
      <w:r>
        <w:rPr>
          <w:rFonts w:hint="eastAsia"/>
          <w:bCs w:val="0"/>
          <w:color w:val="auto"/>
          <w:kern w:val="2"/>
          <w:szCs w:val="24"/>
          <w:highlight w:val="none"/>
        </w:rPr>
        <w:t>条</w:t>
      </w:r>
      <w:r>
        <w:rPr>
          <w:rFonts w:hint="eastAsia"/>
          <w:color w:val="auto"/>
          <w:highlight w:val="none"/>
          <w:lang w:val="nb-NO"/>
        </w:rPr>
        <w:t>采用式</w:t>
      </w:r>
      <w:r>
        <w:rPr>
          <w:rFonts w:hint="eastAsia"/>
          <w:color w:val="auto"/>
          <w:highlight w:val="none"/>
        </w:rPr>
        <w:t>（</w:t>
      </w:r>
      <w:r>
        <w:rPr>
          <w:bCs w:val="0"/>
          <w:color w:val="auto"/>
          <w:kern w:val="2"/>
          <w:szCs w:val="24"/>
          <w:highlight w:val="none"/>
        </w:rPr>
        <w:t>6.14.2-</w:t>
      </w:r>
      <w:r>
        <w:rPr>
          <w:color w:val="auto"/>
          <w:highlight w:val="none"/>
        </w:rPr>
        <w:t>4</w:t>
      </w:r>
      <w:r>
        <w:rPr>
          <w:rFonts w:hint="eastAsia"/>
          <w:color w:val="auto"/>
          <w:highlight w:val="none"/>
        </w:rPr>
        <w:t>）</w:t>
      </w:r>
      <w:r>
        <w:rPr>
          <w:rFonts w:hint="eastAsia"/>
          <w:color w:val="auto"/>
          <w:highlight w:val="none"/>
          <w:lang w:val="nb-NO"/>
        </w:rPr>
        <w:t>。</w:t>
      </w:r>
    </w:p>
    <w:p w14:paraId="5F70AF35">
      <w:pPr>
        <w:pStyle w:val="53"/>
        <w:kinsoku/>
        <w:overflowPunct/>
        <w:bidi w:val="0"/>
        <w:spacing w:line="360" w:lineRule="auto"/>
        <w:ind w:firstLine="525" w:firstLineChars="250"/>
        <w:rPr>
          <w:color w:val="auto"/>
          <w:highlight w:val="none"/>
          <w:lang w:val="nb-NO"/>
        </w:rPr>
      </w:pPr>
      <w:r>
        <w:rPr>
          <w:color w:val="auto"/>
          <w:highlight w:val="none"/>
          <w:lang w:val="nb-NO"/>
        </w:rPr>
        <w:t>4</w:t>
      </w:r>
      <w:r>
        <w:rPr>
          <w:rFonts w:hint="eastAsia"/>
          <w:color w:val="auto"/>
          <w:highlight w:val="none"/>
          <w:lang w:val="nb-NO"/>
        </w:rPr>
        <w:t>）工程</w:t>
      </w:r>
      <w:r>
        <w:rPr>
          <w:rFonts w:hint="eastAsia"/>
          <w:color w:val="auto"/>
          <w:highlight w:val="none"/>
        </w:rPr>
        <w:t>压缩应力</w:t>
      </w:r>
      <w:r>
        <w:rPr>
          <w:rFonts w:hint="eastAsia"/>
          <w:color w:val="auto"/>
          <w:highlight w:val="none"/>
          <w:lang w:val="nb-NO"/>
        </w:rPr>
        <w:t>—应变曲线</w:t>
      </w:r>
    </w:p>
    <w:p w14:paraId="56E99D1B">
      <w:pPr>
        <w:pStyle w:val="53"/>
        <w:kinsoku/>
        <w:overflowPunct/>
        <w:bidi w:val="0"/>
        <w:spacing w:line="360" w:lineRule="auto"/>
        <w:ind w:firstLine="525" w:firstLineChars="250"/>
        <w:rPr>
          <w:rFonts w:hint="eastAsia" w:eastAsia="宋体"/>
          <w:color w:val="auto"/>
          <w:highlight w:val="none"/>
          <w:lang w:val="nb-NO" w:eastAsia="zh"/>
          <w:woUserID w:val="3"/>
        </w:rPr>
      </w:pPr>
      <w:r>
        <w:rPr>
          <w:rFonts w:hint="eastAsia"/>
          <w:color w:val="auto"/>
          <w:highlight w:val="none"/>
          <w:lang w:val="nb-NO"/>
        </w:rPr>
        <w:t>利用工程压缩应力和工程</w:t>
      </w:r>
      <w:r>
        <w:rPr>
          <w:rFonts w:hint="eastAsia"/>
          <w:color w:val="auto"/>
          <w:highlight w:val="none"/>
        </w:rPr>
        <w:t>压</w:t>
      </w:r>
      <w:r>
        <w:rPr>
          <w:rFonts w:hint="eastAsia"/>
          <w:color w:val="auto"/>
          <w:highlight w:val="none"/>
          <w:lang w:val="nb-NO"/>
        </w:rPr>
        <w:t>缩应变，获得工程压缩应力—应变曲线</w:t>
      </w:r>
      <w:r>
        <w:rPr>
          <w:rFonts w:hint="eastAsia"/>
          <w:color w:val="auto"/>
          <w:highlight w:val="none"/>
          <w:lang w:val="nb-NO" w:eastAsia="zh"/>
          <w:woUserID w:val="3"/>
        </w:rPr>
        <w:t>。</w:t>
      </w:r>
    </w:p>
    <w:p w14:paraId="2E28CC6F">
      <w:pPr>
        <w:pStyle w:val="53"/>
        <w:numPr>
          <w:ilvl w:val="0"/>
          <w:numId w:val="15"/>
        </w:numPr>
        <w:kinsoku/>
        <w:overflowPunct/>
        <w:bidi w:val="0"/>
        <w:spacing w:line="360" w:lineRule="auto"/>
        <w:ind w:firstLine="525" w:firstLineChars="250"/>
        <w:rPr>
          <w:rFonts w:hint="eastAsia"/>
          <w:color w:val="auto"/>
          <w:highlight w:val="none"/>
          <w:lang w:val="nb-NO"/>
        </w:rPr>
      </w:pPr>
      <w:r>
        <w:rPr>
          <w:rFonts w:hint="eastAsia"/>
          <w:color w:val="auto"/>
          <w:highlight w:val="none"/>
          <w:lang w:val="nb-NO"/>
        </w:rPr>
        <w:t>平均</w:t>
      </w:r>
      <w:r>
        <w:rPr>
          <w:rFonts w:hint="eastAsia"/>
          <w:color w:val="auto"/>
          <w:highlight w:val="none"/>
        </w:rPr>
        <w:t>工程</w:t>
      </w:r>
      <w:r>
        <w:rPr>
          <w:rFonts w:hint="eastAsia"/>
          <w:color w:val="auto"/>
          <w:highlight w:val="none"/>
          <w:lang w:val="nb-NO"/>
        </w:rPr>
        <w:t>压缩应变速率</w:t>
      </w:r>
    </w:p>
    <w:p w14:paraId="0D2C64E1">
      <w:pPr>
        <w:pStyle w:val="53"/>
        <w:kinsoku/>
        <w:overflowPunct/>
        <w:bidi w:val="0"/>
        <w:spacing w:line="360" w:lineRule="auto"/>
        <w:ind w:firstLine="525" w:firstLineChars="250"/>
        <w:rPr>
          <w:color w:val="auto"/>
          <w:highlight w:val="none"/>
        </w:rPr>
      </w:pPr>
      <w:r>
        <w:rPr>
          <w:rFonts w:hint="eastAsia"/>
          <w:color w:val="auto"/>
          <w:highlight w:val="none"/>
        </w:rPr>
        <w:t>根据</w:t>
      </w:r>
      <w:r>
        <w:rPr>
          <w:color w:val="auto"/>
          <w:highlight w:val="none"/>
        </w:rPr>
        <w:t>6.14.6</w:t>
      </w:r>
      <w:r>
        <w:rPr>
          <w:rFonts w:hint="eastAsia"/>
          <w:color w:val="auto"/>
          <w:highlight w:val="none"/>
        </w:rPr>
        <w:t>条应力波作用时间的确定过程：</w:t>
      </w:r>
    </w:p>
    <w:p w14:paraId="35C0846D">
      <w:pPr>
        <w:pStyle w:val="53"/>
        <w:kinsoku/>
        <w:overflowPunct/>
        <w:bidi w:val="0"/>
        <w:spacing w:line="360" w:lineRule="auto"/>
        <w:ind w:firstLine="525" w:firstLineChars="250"/>
        <w:rPr>
          <w:color w:val="auto"/>
          <w:highlight w:val="none"/>
        </w:rPr>
      </w:pPr>
      <w:r>
        <w:rPr>
          <w:rFonts w:hint="eastAsia"/>
          <w:color w:val="auto"/>
          <w:highlight w:val="none"/>
        </w:rPr>
        <w:t>当工程压缩应变速率—时间曲线存在一个近似的平台阶段，平台阶段开始点为试样达到应力平衡状态的时刻，结束点为试样的破坏时刻（</w:t>
      </w:r>
      <w:r>
        <w:rPr>
          <w:rFonts w:hint="eastAsia"/>
          <w:bCs w:val="0"/>
          <w:color w:val="auto"/>
          <w:kern w:val="2"/>
          <w:szCs w:val="24"/>
          <w:highlight w:val="none"/>
        </w:rPr>
        <w:t>图</w:t>
      </w:r>
      <w:r>
        <w:rPr>
          <w:bCs w:val="0"/>
          <w:color w:val="auto"/>
          <w:kern w:val="2"/>
          <w:szCs w:val="24"/>
          <w:highlight w:val="none"/>
        </w:rPr>
        <w:t>6.1</w:t>
      </w:r>
      <w:r>
        <w:rPr>
          <w:rFonts w:hint="eastAsia"/>
          <w:bCs w:val="0"/>
          <w:color w:val="auto"/>
          <w:kern w:val="2"/>
          <w:szCs w:val="24"/>
          <w:highlight w:val="none"/>
        </w:rPr>
        <w:t>4.</w:t>
      </w:r>
      <w:r>
        <w:rPr>
          <w:rFonts w:hint="eastAsia"/>
          <w:bCs w:val="0"/>
          <w:color w:val="auto"/>
          <w:kern w:val="2"/>
          <w:szCs w:val="24"/>
          <w:highlight w:val="none"/>
          <w:lang w:eastAsia="zh"/>
          <w:woUserID w:val="3"/>
        </w:rPr>
        <w:t>6</w:t>
      </w:r>
      <w:r>
        <w:rPr>
          <w:rFonts w:hint="eastAsia"/>
          <w:color w:val="auto"/>
          <w:highlight w:val="none"/>
        </w:rPr>
        <w:t>），宜以该段平均值作为</w:t>
      </w:r>
      <w:r>
        <w:rPr>
          <w:rFonts w:hint="eastAsia"/>
          <w:color w:val="auto"/>
          <w:highlight w:val="none"/>
          <w:lang w:val="nb-NO"/>
        </w:rPr>
        <w:t>平均</w:t>
      </w:r>
      <w:r>
        <w:rPr>
          <w:rFonts w:hint="eastAsia"/>
          <w:color w:val="auto"/>
          <w:highlight w:val="none"/>
        </w:rPr>
        <w:t>工程</w:t>
      </w:r>
      <w:r>
        <w:rPr>
          <w:rFonts w:hint="eastAsia"/>
          <w:color w:val="auto"/>
          <w:highlight w:val="none"/>
          <w:lang w:val="nb-NO"/>
        </w:rPr>
        <w:t>压缩应变速率</w:t>
      </w:r>
      <w:r>
        <w:rPr>
          <w:rFonts w:hint="eastAsia"/>
          <w:color w:val="auto"/>
          <w:highlight w:val="none"/>
        </w:rPr>
        <w:t>。</w:t>
      </w:r>
    </w:p>
    <w:p w14:paraId="75851310">
      <w:pPr>
        <w:pStyle w:val="53"/>
        <w:kinsoku/>
        <w:overflowPunct/>
        <w:bidi w:val="0"/>
        <w:spacing w:line="360" w:lineRule="auto"/>
        <w:ind w:firstLine="525" w:firstLineChars="250"/>
        <w:rPr>
          <w:color w:val="auto"/>
          <w:highlight w:val="none"/>
        </w:rPr>
      </w:pPr>
      <w:r>
        <w:rPr>
          <w:rFonts w:hint="eastAsia"/>
          <w:color w:val="auto"/>
          <w:highlight w:val="none"/>
        </w:rPr>
        <w:t>当工程压缩应变速率—时间曲线不存在一个近似的平台阶段，按照式</w:t>
      </w:r>
      <w:r>
        <w:rPr>
          <w:rFonts w:hint="eastAsia"/>
          <w:color w:val="auto"/>
          <w:highlight w:val="none"/>
          <w:lang w:val="nb-NO"/>
        </w:rPr>
        <w:t>（</w:t>
      </w:r>
      <w:r>
        <w:rPr>
          <w:color w:val="auto"/>
          <w:highlight w:val="none"/>
          <w:lang w:val="nb-NO"/>
        </w:rPr>
        <w:t>6.14.6-5</w:t>
      </w:r>
      <w:r>
        <w:rPr>
          <w:rFonts w:hint="eastAsia"/>
          <w:color w:val="auto"/>
          <w:highlight w:val="none"/>
          <w:lang w:val="nb-NO"/>
        </w:rPr>
        <w:t>）</w:t>
      </w:r>
      <w:r>
        <w:rPr>
          <w:rFonts w:hint="eastAsia"/>
          <w:color w:val="auto"/>
          <w:highlight w:val="none"/>
        </w:rPr>
        <w:t>对本条中的工程应变速率历程曲线确定平均工程塑性应变速率：</w:t>
      </w:r>
    </w:p>
    <w:p w14:paraId="1AAEC4F1">
      <w:pPr>
        <w:pStyle w:val="53"/>
        <w:kinsoku/>
        <w:overflowPunct/>
        <w:bidi w:val="0"/>
        <w:spacing w:line="360" w:lineRule="auto"/>
        <w:ind w:firstLine="420" w:firstLineChars="200"/>
        <w:jc w:val="right"/>
        <w:rPr>
          <w:color w:val="auto"/>
          <w:highlight w:val="none"/>
          <w:lang w:val="nb-NO"/>
        </w:rPr>
      </w:pPr>
      <w:r>
        <w:rPr>
          <w:color w:val="auto"/>
          <w:position w:val="-30"/>
          <w:highlight w:val="none"/>
        </w:rPr>
        <w:object>
          <v:shape id="_x0000_i1092" o:spt="75" type="#_x0000_t75" style="height:36.2pt;width:101.95pt;" o:ole="t" filled="f" o:preferrelative="t" stroked="f" coordsize="21600,21600">
            <v:path/>
            <v:fill on="f" focussize="0,0"/>
            <v:stroke on="f" joinstyle="miter"/>
            <v:imagedata r:id="rId178" o:title=""/>
            <o:lock v:ext="edit" aspectratio="t"/>
            <w10:wrap type="none"/>
            <w10:anchorlock/>
          </v:shape>
          <o:OLEObject Type="Embed" ProgID="Equation.DSMT4" ShapeID="_x0000_i1092" DrawAspect="Content" ObjectID="_1468075792" r:id="rId177">
            <o:LockedField>false</o:LockedField>
          </o:OLEObject>
        </w:object>
      </w:r>
      <w:r>
        <w:rPr>
          <w:color w:val="auto"/>
          <w:highlight w:val="none"/>
          <w:lang w:val="nb-NO"/>
        </w:rPr>
        <w:t xml:space="preserve">      </w:t>
      </w:r>
      <w:r>
        <w:rPr>
          <w:rFonts w:hint="eastAsia"/>
          <w:color w:val="auto"/>
          <w:highlight w:val="none"/>
          <w:lang w:val="nb-NO"/>
        </w:rPr>
        <w:t xml:space="preserve">        </w:t>
      </w:r>
      <w:r>
        <w:rPr>
          <w:color w:val="auto"/>
          <w:highlight w:val="none"/>
          <w:lang w:val="nb-NO"/>
        </w:rPr>
        <w:t xml:space="preserve">         </w:t>
      </w:r>
      <w:r>
        <w:rPr>
          <w:rFonts w:hint="eastAsia"/>
          <w:color w:val="auto"/>
          <w:highlight w:val="none"/>
          <w:lang w:val="nb-NO"/>
        </w:rPr>
        <w:t>（</w:t>
      </w:r>
      <w:r>
        <w:rPr>
          <w:color w:val="auto"/>
          <w:highlight w:val="none"/>
          <w:lang w:val="nb-NO"/>
        </w:rPr>
        <w:t>6.14.6-5</w:t>
      </w:r>
      <w:r>
        <w:rPr>
          <w:rFonts w:hint="eastAsia"/>
          <w:color w:val="auto"/>
          <w:highlight w:val="none"/>
          <w:lang w:val="nb-NO"/>
        </w:rPr>
        <w:t>）</w:t>
      </w:r>
    </w:p>
    <w:p w14:paraId="1B1D506A">
      <w:pPr>
        <w:widowControl/>
        <w:kinsoku/>
        <w:overflowPunct/>
        <w:bidi w:val="0"/>
        <w:spacing w:before="50" w:line="360" w:lineRule="auto"/>
        <w:ind w:firstLine="420" w:firstLineChars="200"/>
        <w:jc w:val="left"/>
        <w:rPr>
          <w:color w:val="auto"/>
          <w:highlight w:val="none"/>
          <w:lang w:val="nb-NO"/>
        </w:rPr>
      </w:pPr>
      <w:r>
        <w:rPr>
          <w:color w:val="auto"/>
          <w:highlight w:val="none"/>
          <w:lang w:val="nb-NO"/>
        </w:rPr>
        <w:t>6</w:t>
      </w:r>
      <w:r>
        <w:rPr>
          <w:rFonts w:hint="eastAsia"/>
          <w:color w:val="auto"/>
          <w:highlight w:val="none"/>
          <w:lang w:val="nb-NO"/>
        </w:rPr>
        <w:t>）动态抗压强度</w:t>
      </w:r>
    </w:p>
    <w:p w14:paraId="64FC607E">
      <w:pPr>
        <w:widowControl/>
        <w:kinsoku/>
        <w:overflowPunct/>
        <w:bidi w:val="0"/>
        <w:spacing w:before="50" w:line="360" w:lineRule="auto"/>
        <w:ind w:firstLine="420" w:firstLineChars="200"/>
        <w:jc w:val="left"/>
        <w:rPr>
          <w:color w:val="auto"/>
          <w:highlight w:val="none"/>
          <w:lang w:val="nb-NO"/>
        </w:rPr>
      </w:pPr>
      <w:r>
        <w:rPr>
          <w:rFonts w:hint="eastAsia"/>
          <w:color w:val="auto"/>
          <w:highlight w:val="none"/>
          <w:lang w:val="nb-NO"/>
        </w:rPr>
        <w:t>根据工程压缩应力—工程应变曲线，以曲线峰值处应力作为动态抗压强度</w:t>
      </w:r>
      <w:r>
        <w:rPr>
          <w:i/>
          <w:iCs/>
          <w:color w:val="auto"/>
          <w:highlight w:val="none"/>
          <w:lang w:val="nb-NO"/>
        </w:rPr>
        <w:t>f</w:t>
      </w:r>
      <w:r>
        <w:rPr>
          <w:color w:val="auto"/>
          <w:highlight w:val="none"/>
          <w:vertAlign w:val="subscript"/>
          <w:lang w:val="nb-NO"/>
        </w:rPr>
        <w:t>cd</w:t>
      </w:r>
      <w:r>
        <w:rPr>
          <w:rFonts w:hint="eastAsia"/>
          <w:color w:val="auto"/>
          <w:highlight w:val="none"/>
          <w:lang w:val="nb-NO"/>
        </w:rPr>
        <w:t>。</w:t>
      </w:r>
    </w:p>
    <w:p w14:paraId="64B052EB">
      <w:pPr>
        <w:widowControl/>
        <w:kinsoku/>
        <w:overflowPunct/>
        <w:bidi w:val="0"/>
        <w:spacing w:before="50" w:line="360" w:lineRule="auto"/>
        <w:ind w:firstLine="420" w:firstLineChars="200"/>
        <w:jc w:val="left"/>
        <w:rPr>
          <w:color w:val="auto"/>
          <w:highlight w:val="none"/>
          <w:lang w:val="nb-NO"/>
        </w:rPr>
      </w:pPr>
      <w:r>
        <w:rPr>
          <w:color w:val="auto"/>
          <w:highlight w:val="none"/>
          <w:lang w:val="nb-NO"/>
        </w:rPr>
        <w:t>7</w:t>
      </w:r>
      <w:r>
        <w:rPr>
          <w:rFonts w:hint="eastAsia"/>
          <w:color w:val="auto"/>
          <w:highlight w:val="none"/>
          <w:lang w:val="nb-NO"/>
        </w:rPr>
        <w:t>）峰值应变</w:t>
      </w:r>
    </w:p>
    <w:p w14:paraId="65112830">
      <w:pPr>
        <w:widowControl/>
        <w:kinsoku/>
        <w:overflowPunct/>
        <w:bidi w:val="0"/>
        <w:spacing w:before="50" w:line="360" w:lineRule="auto"/>
        <w:ind w:firstLine="420" w:firstLineChars="200"/>
        <w:jc w:val="left"/>
        <w:rPr>
          <w:color w:val="auto"/>
          <w:highlight w:val="none"/>
          <w:lang w:val="nb-NO"/>
        </w:rPr>
      </w:pPr>
      <w:r>
        <w:rPr>
          <w:rFonts w:hint="eastAsia"/>
          <w:color w:val="auto"/>
          <w:highlight w:val="none"/>
          <w:lang w:val="nb-NO"/>
        </w:rPr>
        <w:t>根据工程压缩应力—工程应变曲线，以曲线峰值处应变作为峰值应变</w:t>
      </w:r>
      <w:r>
        <w:rPr>
          <w:rFonts w:hint="eastAsia"/>
          <w:i/>
          <w:iCs/>
          <w:color w:val="auto"/>
          <w:highlight w:val="none"/>
          <w:lang w:val="nb-NO"/>
        </w:rPr>
        <w:t>ε</w:t>
      </w:r>
      <w:r>
        <w:rPr>
          <w:color w:val="auto"/>
          <w:highlight w:val="none"/>
          <w:vertAlign w:val="subscript"/>
          <w:lang w:val="nb-NO"/>
        </w:rPr>
        <w:t>ud</w:t>
      </w:r>
      <w:r>
        <w:rPr>
          <w:rFonts w:hint="eastAsia"/>
          <w:color w:val="auto"/>
          <w:highlight w:val="none"/>
          <w:lang w:val="nb-NO"/>
        </w:rPr>
        <w:t>。</w:t>
      </w:r>
    </w:p>
    <w:p w14:paraId="6C7EFA0B">
      <w:pPr>
        <w:widowControl/>
        <w:kinsoku/>
        <w:overflowPunct/>
        <w:bidi w:val="0"/>
        <w:spacing w:before="50" w:line="360" w:lineRule="auto"/>
        <w:ind w:firstLine="420" w:firstLineChars="200"/>
        <w:jc w:val="left"/>
        <w:rPr>
          <w:color w:val="auto"/>
          <w:highlight w:val="none"/>
          <w:lang w:val="nb-NO"/>
        </w:rPr>
      </w:pPr>
      <w:r>
        <w:rPr>
          <w:color w:val="auto"/>
          <w:highlight w:val="none"/>
          <w:lang w:val="nb-NO"/>
        </w:rPr>
        <w:t>8</w:t>
      </w:r>
      <w:r>
        <w:rPr>
          <w:rFonts w:hint="eastAsia"/>
          <w:color w:val="auto"/>
          <w:highlight w:val="none"/>
          <w:lang w:val="nb-NO"/>
        </w:rPr>
        <w:t>）动态增强因子</w:t>
      </w:r>
      <w:r>
        <w:rPr>
          <w:i/>
          <w:iCs/>
          <w:color w:val="auto"/>
          <w:highlight w:val="none"/>
          <w:lang w:val="nb-NO"/>
        </w:rPr>
        <w:t>DIF</w:t>
      </w:r>
    </w:p>
    <w:p w14:paraId="0B746EFF">
      <w:pPr>
        <w:pStyle w:val="53"/>
        <w:kinsoku/>
        <w:overflowPunct/>
        <w:bidi w:val="0"/>
        <w:spacing w:line="360" w:lineRule="auto"/>
        <w:ind w:firstLine="420" w:firstLineChars="200"/>
        <w:jc w:val="right"/>
        <w:rPr>
          <w:color w:val="auto"/>
          <w:highlight w:val="none"/>
          <w:lang w:val="nb-NO"/>
        </w:rPr>
      </w:pPr>
      <w:r>
        <w:rPr>
          <w:color w:val="auto"/>
          <w:position w:val="-30"/>
          <w:highlight w:val="none"/>
        </w:rPr>
        <w:object>
          <v:shape id="_x0000_i1093" o:spt="75" type="#_x0000_t75" style="height:34.25pt;width:52.95pt;" o:ole="t" filled="f" o:preferrelative="t" stroked="f" coordsize="21600,21600">
            <v:path/>
            <v:fill on="f" focussize="0,0"/>
            <v:stroke on="f" joinstyle="miter"/>
            <v:imagedata r:id="rId180" o:title=""/>
            <o:lock v:ext="edit" aspectratio="t"/>
            <w10:wrap type="none"/>
            <w10:anchorlock/>
          </v:shape>
          <o:OLEObject Type="Embed" ProgID="Equation.DSMT4" ShapeID="_x0000_i1093" DrawAspect="Content" ObjectID="_1468075793" r:id="rId179">
            <o:LockedField>false</o:LockedField>
          </o:OLEObject>
        </w:object>
      </w:r>
      <w:r>
        <w:rPr>
          <w:color w:val="auto"/>
          <w:highlight w:val="none"/>
          <w:lang w:val="nb-NO"/>
        </w:rPr>
        <w:t xml:space="preserve">                              </w:t>
      </w:r>
      <w:r>
        <w:rPr>
          <w:rFonts w:hint="eastAsia"/>
          <w:color w:val="auto"/>
          <w:highlight w:val="none"/>
          <w:lang w:val="nb-NO"/>
        </w:rPr>
        <w:t>（</w:t>
      </w:r>
      <w:r>
        <w:rPr>
          <w:color w:val="auto"/>
          <w:highlight w:val="none"/>
          <w:lang w:val="nb-NO"/>
        </w:rPr>
        <w:t>6.14.6-</w:t>
      </w:r>
      <w:r>
        <w:rPr>
          <w:rFonts w:hint="eastAsia"/>
          <w:color w:val="auto"/>
          <w:highlight w:val="none"/>
          <w:lang w:val="nb-NO"/>
        </w:rPr>
        <w:t>6）</w:t>
      </w:r>
    </w:p>
    <w:p w14:paraId="7E753B09">
      <w:pPr>
        <w:pStyle w:val="53"/>
        <w:kinsoku/>
        <w:overflowPunct/>
        <w:bidi w:val="0"/>
        <w:spacing w:line="360" w:lineRule="auto"/>
        <w:ind w:firstLine="525" w:firstLineChars="250"/>
        <w:rPr>
          <w:color w:val="auto"/>
          <w:highlight w:val="none"/>
          <w:lang w:val="nb-NO"/>
        </w:rPr>
      </w:pPr>
      <w:r>
        <w:rPr>
          <w:rFonts w:hint="eastAsia"/>
          <w:color w:val="auto"/>
          <w:highlight w:val="none"/>
        </w:rPr>
        <w:t>式中</w:t>
      </w:r>
      <w:r>
        <w:rPr>
          <w:rFonts w:hint="eastAsia"/>
          <w:color w:val="auto"/>
          <w:highlight w:val="none"/>
          <w:lang w:val="nb-NO"/>
        </w:rPr>
        <w:t>：</w:t>
      </w:r>
      <w:r>
        <w:rPr>
          <w:i/>
          <w:iCs/>
          <w:color w:val="auto"/>
          <w:highlight w:val="none"/>
          <w:lang w:val="nb-NO"/>
        </w:rPr>
        <w:t>DIF</w:t>
      </w:r>
      <w:r>
        <w:rPr>
          <w:rFonts w:hint="eastAsia"/>
          <w:color w:val="auto"/>
          <w:highlight w:val="none"/>
          <w:lang w:val="nb-NO"/>
        </w:rPr>
        <w:t>——动态增强因子；</w:t>
      </w:r>
    </w:p>
    <w:p w14:paraId="27F12773">
      <w:pPr>
        <w:pStyle w:val="53"/>
        <w:kinsoku/>
        <w:overflowPunct/>
        <w:bidi w:val="0"/>
        <w:spacing w:line="360" w:lineRule="auto"/>
        <w:ind w:firstLine="1365" w:firstLineChars="650"/>
        <w:rPr>
          <w:color w:val="auto"/>
          <w:highlight w:val="none"/>
          <w:lang w:val="nb-NO"/>
        </w:rPr>
      </w:pPr>
      <w:r>
        <w:rPr>
          <w:i/>
          <w:iCs/>
          <w:color w:val="auto"/>
          <w:highlight w:val="none"/>
          <w:lang w:val="nb-NO"/>
        </w:rPr>
        <w:t>f</w:t>
      </w:r>
      <w:r>
        <w:rPr>
          <w:color w:val="auto"/>
          <w:highlight w:val="none"/>
          <w:vertAlign w:val="subscript"/>
          <w:lang w:val="nb-NO"/>
        </w:rPr>
        <w:t>cd</w:t>
      </w:r>
      <w:r>
        <w:rPr>
          <w:rFonts w:hint="eastAsia"/>
          <w:color w:val="auto"/>
          <w:highlight w:val="none"/>
          <w:lang w:val="nb-NO"/>
        </w:rPr>
        <w:t>——动态抗压强度，</w:t>
      </w:r>
      <w:r>
        <w:rPr>
          <w:color w:val="auto"/>
          <w:highlight w:val="none"/>
          <w:lang w:val="nb-NO"/>
        </w:rPr>
        <w:t>M</w:t>
      </w:r>
      <w:r>
        <w:rPr>
          <w:rFonts w:hint="eastAsia"/>
          <w:color w:val="auto"/>
          <w:highlight w:val="none"/>
          <w:lang w:val="nb-NO" w:eastAsia="zh"/>
          <w:woUserID w:val="3"/>
        </w:rPr>
        <w:t>P</w:t>
      </w:r>
      <w:r>
        <w:rPr>
          <w:color w:val="auto"/>
          <w:highlight w:val="none"/>
          <w:lang w:val="nb-NO"/>
        </w:rPr>
        <w:t>a</w:t>
      </w:r>
      <w:r>
        <w:rPr>
          <w:rFonts w:hint="eastAsia"/>
          <w:color w:val="auto"/>
          <w:highlight w:val="none"/>
          <w:lang w:val="nb-NO"/>
        </w:rPr>
        <w:t>；</w:t>
      </w:r>
    </w:p>
    <w:p w14:paraId="03DD4BC5">
      <w:pPr>
        <w:pStyle w:val="53"/>
        <w:kinsoku/>
        <w:overflowPunct/>
        <w:bidi w:val="0"/>
        <w:spacing w:line="360" w:lineRule="auto"/>
        <w:ind w:firstLine="1365" w:firstLineChars="650"/>
        <w:rPr>
          <w:color w:val="auto"/>
          <w:highlight w:val="none"/>
          <w:lang w:val="nb-NO"/>
        </w:rPr>
      </w:pPr>
      <w:r>
        <w:rPr>
          <w:i/>
          <w:iCs/>
          <w:color w:val="auto"/>
          <w:highlight w:val="none"/>
          <w:lang w:val="nb-NO"/>
        </w:rPr>
        <w:t>f</w:t>
      </w:r>
      <w:r>
        <w:rPr>
          <w:color w:val="auto"/>
          <w:highlight w:val="none"/>
          <w:vertAlign w:val="subscript"/>
          <w:lang w:val="nb-NO"/>
        </w:rPr>
        <w:t>cc</w:t>
      </w:r>
      <w:r>
        <w:rPr>
          <w:rFonts w:hint="eastAsia"/>
          <w:color w:val="auto"/>
          <w:highlight w:val="none"/>
          <w:lang w:val="nb-NO"/>
        </w:rPr>
        <w:t>——</w:t>
      </w:r>
      <w:r>
        <w:rPr>
          <w:rFonts w:hint="eastAsia"/>
          <w:color w:val="auto"/>
          <w:highlight w:val="none"/>
        </w:rPr>
        <w:t>超高性能混凝土立方体试件</w:t>
      </w:r>
      <w:r>
        <w:rPr>
          <w:rFonts w:hint="eastAsia"/>
          <w:color w:val="auto"/>
          <w:highlight w:val="none"/>
          <w:lang w:val="nb-NO"/>
        </w:rPr>
        <w:t>抗压强度，</w:t>
      </w:r>
      <w:r>
        <w:rPr>
          <w:color w:val="auto"/>
          <w:highlight w:val="none"/>
          <w:lang w:val="nb-NO"/>
        </w:rPr>
        <w:t>M</w:t>
      </w:r>
      <w:r>
        <w:rPr>
          <w:rFonts w:hint="eastAsia"/>
          <w:color w:val="auto"/>
          <w:highlight w:val="none"/>
          <w:lang w:val="nb-NO" w:eastAsia="zh"/>
          <w:woUserID w:val="3"/>
        </w:rPr>
        <w:t>P</w:t>
      </w:r>
      <w:r>
        <w:rPr>
          <w:color w:val="auto"/>
          <w:highlight w:val="none"/>
          <w:lang w:val="nb-NO"/>
        </w:rPr>
        <w:t>a</w:t>
      </w:r>
      <w:r>
        <w:rPr>
          <w:rFonts w:hint="eastAsia"/>
          <w:color w:val="auto"/>
          <w:highlight w:val="none"/>
          <w:lang w:val="nb-NO"/>
        </w:rPr>
        <w:t>。</w:t>
      </w:r>
    </w:p>
    <w:p w14:paraId="4EA2A529">
      <w:pPr>
        <w:pStyle w:val="53"/>
        <w:kinsoku/>
        <w:overflowPunct/>
        <w:bidi w:val="0"/>
        <w:spacing w:line="360" w:lineRule="auto"/>
        <w:rPr>
          <w:color w:val="auto"/>
          <w:highlight w:val="none"/>
          <w:lang w:val="nb-NO"/>
        </w:rPr>
      </w:pPr>
      <w:r>
        <w:rPr>
          <w:color w:val="auto"/>
          <w:highlight w:val="none"/>
          <w:lang w:val="nb-NO"/>
        </w:rPr>
        <w:t xml:space="preserve">4 </w:t>
      </w:r>
      <w:r>
        <w:rPr>
          <w:rFonts w:hint="eastAsia"/>
          <w:color w:val="auto"/>
          <w:highlight w:val="none"/>
          <w:lang w:val="nb-NO"/>
        </w:rPr>
        <w:t>试验结果有效性评估</w:t>
      </w:r>
    </w:p>
    <w:p w14:paraId="596364DB">
      <w:pPr>
        <w:widowControl/>
        <w:kinsoku/>
        <w:overflowPunct/>
        <w:bidi w:val="0"/>
        <w:spacing w:before="50" w:line="360" w:lineRule="auto"/>
        <w:ind w:firstLine="420" w:firstLineChars="200"/>
        <w:jc w:val="left"/>
        <w:rPr>
          <w:color w:val="auto"/>
          <w:highlight w:val="none"/>
          <w:lang w:val="nb-NO"/>
        </w:rPr>
      </w:pPr>
      <w:r>
        <w:rPr>
          <w:rFonts w:hint="eastAsia"/>
          <w:color w:val="auto"/>
          <w:highlight w:val="none"/>
          <w:lang w:val="nb-NO"/>
        </w:rPr>
        <w:t>出现下列任何一种情况，应视为试验无效，重新进行试验：</w:t>
      </w:r>
    </w:p>
    <w:p w14:paraId="70CFBCBF">
      <w:pPr>
        <w:widowControl/>
        <w:kinsoku/>
        <w:overflowPunct/>
        <w:bidi w:val="0"/>
        <w:spacing w:before="50" w:line="360" w:lineRule="auto"/>
        <w:ind w:firstLine="420" w:firstLineChars="200"/>
        <w:jc w:val="left"/>
        <w:rPr>
          <w:color w:val="auto"/>
          <w:highlight w:val="none"/>
          <w:lang w:val="nb-NO"/>
        </w:rPr>
      </w:pPr>
      <w:r>
        <w:rPr>
          <w:color w:val="auto"/>
          <w:highlight w:val="none"/>
          <w:lang w:val="nb-NO"/>
        </w:rPr>
        <w:t>1</w:t>
      </w:r>
      <w:r>
        <w:rPr>
          <w:rFonts w:hint="eastAsia"/>
          <w:color w:val="auto"/>
          <w:highlight w:val="none"/>
          <w:lang w:val="nb-NO"/>
        </w:rPr>
        <w:t>）试验波形记录不完整或试验数据溢出；</w:t>
      </w:r>
    </w:p>
    <w:p w14:paraId="6C88DC14">
      <w:pPr>
        <w:widowControl/>
        <w:kinsoku/>
        <w:overflowPunct/>
        <w:bidi w:val="0"/>
        <w:spacing w:before="50" w:line="360" w:lineRule="auto"/>
        <w:ind w:firstLine="420" w:firstLineChars="200"/>
        <w:jc w:val="left"/>
        <w:rPr>
          <w:color w:val="auto"/>
          <w:highlight w:val="none"/>
          <w:lang w:val="nb-NO"/>
        </w:rPr>
      </w:pPr>
      <w:r>
        <w:rPr>
          <w:color w:val="auto"/>
          <w:highlight w:val="none"/>
          <w:lang w:val="nb-NO"/>
        </w:rPr>
        <w:t>2</w:t>
      </w:r>
      <w:r>
        <w:rPr>
          <w:rFonts w:hint="eastAsia"/>
          <w:color w:val="auto"/>
          <w:highlight w:val="none"/>
          <w:lang w:val="nb-NO"/>
        </w:rPr>
        <w:t>）试验波形的极大值小于记录量程的</w:t>
      </w:r>
      <w:r>
        <w:rPr>
          <w:color w:val="auto"/>
          <w:highlight w:val="none"/>
          <w:lang w:val="nb-NO"/>
        </w:rPr>
        <w:t>20%</w:t>
      </w:r>
      <w:r>
        <w:rPr>
          <w:rFonts w:hint="eastAsia"/>
          <w:color w:val="auto"/>
          <w:highlight w:val="none"/>
          <w:lang w:val="nb-NO"/>
        </w:rPr>
        <w:t>；</w:t>
      </w:r>
    </w:p>
    <w:p w14:paraId="059FB7F6">
      <w:pPr>
        <w:widowControl/>
        <w:kinsoku/>
        <w:overflowPunct/>
        <w:bidi w:val="0"/>
        <w:spacing w:before="50" w:line="360" w:lineRule="auto"/>
        <w:ind w:firstLine="420" w:firstLineChars="200"/>
        <w:jc w:val="left"/>
        <w:rPr>
          <w:color w:val="auto"/>
          <w:highlight w:val="none"/>
          <w:lang w:val="nb-NO"/>
        </w:rPr>
      </w:pPr>
      <w:r>
        <w:rPr>
          <w:color w:val="auto"/>
          <w:highlight w:val="none"/>
          <w:lang w:val="nb-NO"/>
        </w:rPr>
        <w:t>3</w:t>
      </w:r>
      <w:r>
        <w:rPr>
          <w:rFonts w:hint="eastAsia"/>
          <w:color w:val="auto"/>
          <w:highlight w:val="none"/>
          <w:lang w:val="nb-NO"/>
        </w:rPr>
        <w:t>）试样出现不均匀变形（如倾斜变形）、或试样未发生塑性变形；</w:t>
      </w:r>
    </w:p>
    <w:p w14:paraId="6B321B8A">
      <w:pPr>
        <w:widowControl/>
        <w:kinsoku/>
        <w:overflowPunct/>
        <w:bidi w:val="0"/>
        <w:spacing w:before="50" w:line="360" w:lineRule="auto"/>
        <w:ind w:firstLine="420" w:firstLineChars="200"/>
        <w:jc w:val="left"/>
        <w:rPr>
          <w:color w:val="auto"/>
          <w:highlight w:val="none"/>
          <w:lang w:val="nb-NO"/>
        </w:rPr>
      </w:pPr>
      <w:r>
        <w:rPr>
          <w:color w:val="auto"/>
          <w:highlight w:val="none"/>
          <w:lang w:val="nb-NO"/>
        </w:rPr>
        <w:t>4</w:t>
      </w:r>
      <w:r>
        <w:rPr>
          <w:rFonts w:hint="eastAsia"/>
          <w:color w:val="auto"/>
          <w:highlight w:val="none"/>
          <w:lang w:val="nb-NO"/>
        </w:rPr>
        <w:t>）试验后试样完全破碎。</w:t>
      </w:r>
    </w:p>
    <w:p w14:paraId="65D9A313">
      <w:pPr>
        <w:pStyle w:val="53"/>
        <w:kinsoku/>
        <w:overflowPunct/>
        <w:bidi w:val="0"/>
        <w:spacing w:line="360" w:lineRule="auto"/>
        <w:rPr>
          <w:i/>
          <w:iCs/>
          <w:color w:val="auto"/>
          <w:highlight w:val="none"/>
        </w:rPr>
      </w:pPr>
      <w:r>
        <w:rPr>
          <w:rFonts w:hint="eastAsia"/>
          <w:color w:val="auto"/>
          <w:highlight w:val="none"/>
        </w:rPr>
        <w:t xml:space="preserve">5 </w:t>
      </w:r>
      <w:r>
        <w:rPr>
          <w:rFonts w:hint="eastAsia"/>
          <w:color w:val="auto"/>
          <w:highlight w:val="none"/>
          <w:lang w:val="en-US" w:eastAsia="zh-CN"/>
        </w:rPr>
        <w:t>试验结果处理</w:t>
      </w:r>
    </w:p>
    <w:p w14:paraId="4E104EE1">
      <w:pPr>
        <w:pStyle w:val="53"/>
        <w:kinsoku/>
        <w:overflowPunct/>
        <w:bidi w:val="0"/>
        <w:spacing w:line="360" w:lineRule="auto"/>
        <w:ind w:firstLine="525" w:firstLineChars="250"/>
        <w:rPr>
          <w:color w:val="auto"/>
          <w:highlight w:val="none"/>
        </w:rPr>
      </w:pPr>
      <w:r>
        <w:rPr>
          <w:rFonts w:hint="eastAsia"/>
          <w:color w:val="auto"/>
          <w:highlight w:val="none"/>
        </w:rPr>
        <w:t>1）以试验目标平均压缩应变速率的±10%作为上下阈值，对一组试件的试验结果进行筛选；</w:t>
      </w:r>
    </w:p>
    <w:p w14:paraId="2E2BD117">
      <w:pPr>
        <w:pStyle w:val="53"/>
        <w:kinsoku/>
        <w:overflowPunct/>
        <w:bidi w:val="0"/>
        <w:spacing w:line="360" w:lineRule="auto"/>
        <w:ind w:firstLine="525" w:firstLineChars="250"/>
        <w:rPr>
          <w:color w:val="auto"/>
          <w:highlight w:val="none"/>
        </w:rPr>
      </w:pPr>
      <w:r>
        <w:rPr>
          <w:rFonts w:hint="eastAsia"/>
          <w:color w:val="auto"/>
          <w:highlight w:val="none"/>
        </w:rPr>
        <w:t>2）当落在阈值区间内的试验数不少于3个时，</w:t>
      </w:r>
      <w:r>
        <w:rPr>
          <w:rFonts w:hint="eastAsia"/>
          <w:color w:val="auto"/>
          <w:highlight w:val="none"/>
          <w:lang w:val="nb-NO"/>
        </w:rPr>
        <w:t>动态抗压强度、峰值应变</w:t>
      </w:r>
      <w:r>
        <w:rPr>
          <w:rFonts w:hint="eastAsia"/>
          <w:color w:val="auto"/>
          <w:highlight w:val="none"/>
          <w:lang w:val="nb-NO"/>
          <w:woUserID w:val="3"/>
        </w:rPr>
        <w:t>和</w:t>
      </w:r>
      <w:r>
        <w:rPr>
          <w:rFonts w:hint="eastAsia"/>
          <w:color w:val="auto"/>
          <w:highlight w:val="none"/>
          <w:lang w:val="nb-NO"/>
        </w:rPr>
        <w:t>动态增强因子</w:t>
      </w:r>
      <w:r>
        <w:rPr>
          <w:color w:val="auto"/>
          <w:highlight w:val="none"/>
          <w:lang w:val="nb-NO"/>
        </w:rPr>
        <w:t>DIF</w:t>
      </w:r>
      <w:r>
        <w:rPr>
          <w:rFonts w:hint="eastAsia"/>
          <w:color w:val="auto"/>
          <w:highlight w:val="none"/>
          <w:lang w:val="nb-NO"/>
        </w:rPr>
        <w:t>为几个试验计算结果的</w:t>
      </w:r>
      <w:r>
        <w:rPr>
          <w:rFonts w:hint="eastAsia"/>
          <w:color w:val="auto"/>
          <w:highlight w:val="none"/>
          <w:lang w:val="en-US" w:eastAsia="zh-CN"/>
        </w:rPr>
        <w:t>算术</w:t>
      </w:r>
      <w:r>
        <w:rPr>
          <w:rFonts w:hint="eastAsia"/>
          <w:color w:val="auto"/>
          <w:highlight w:val="none"/>
          <w:lang w:val="nb-NO"/>
        </w:rPr>
        <w:t>平均值，并给出几个</w:t>
      </w:r>
      <w:r>
        <w:rPr>
          <w:rFonts w:hint="eastAsia"/>
          <w:color w:val="auto"/>
          <w:highlight w:val="none"/>
          <w:lang w:val="nb-NO" w:eastAsia="zh"/>
          <w:woUserID w:val="3"/>
        </w:rPr>
        <w:t>试件</w:t>
      </w:r>
      <w:r>
        <w:rPr>
          <w:rFonts w:hint="eastAsia"/>
          <w:color w:val="auto"/>
          <w:highlight w:val="none"/>
          <w:lang w:val="nb-NO"/>
        </w:rPr>
        <w:t>的工程</w:t>
      </w:r>
      <w:r>
        <w:rPr>
          <w:rFonts w:hint="eastAsia"/>
          <w:color w:val="auto"/>
          <w:highlight w:val="none"/>
        </w:rPr>
        <w:t>压缩应力</w:t>
      </w:r>
      <w:r>
        <w:rPr>
          <w:rFonts w:hint="eastAsia"/>
          <w:color w:val="auto"/>
          <w:highlight w:val="none"/>
          <w:lang w:val="nb-NO"/>
        </w:rPr>
        <w:t>—应变曲线；</w:t>
      </w:r>
    </w:p>
    <w:p w14:paraId="701E0DF0">
      <w:pPr>
        <w:pStyle w:val="53"/>
        <w:kinsoku/>
        <w:overflowPunct/>
        <w:bidi w:val="0"/>
        <w:spacing w:line="360" w:lineRule="auto"/>
        <w:ind w:firstLine="525" w:firstLineChars="250"/>
        <w:rPr>
          <w:color w:val="auto"/>
          <w:highlight w:val="none"/>
          <w:lang w:val="nb-NO"/>
        </w:rPr>
      </w:pPr>
      <w:r>
        <w:rPr>
          <w:rFonts w:hint="eastAsia"/>
          <w:color w:val="auto"/>
          <w:highlight w:val="none"/>
        </w:rPr>
        <w:t>3）当落在阈值区间内的试验组少于3个时，</w:t>
      </w:r>
      <w:r>
        <w:rPr>
          <w:color w:val="auto"/>
          <w:highlight w:val="none"/>
          <w:lang w:val="nb-NO"/>
        </w:rPr>
        <w:t>则该组试件的试验结果无效</w:t>
      </w:r>
      <w:r>
        <w:rPr>
          <w:rFonts w:hint="eastAsia"/>
          <w:color w:val="auto"/>
          <w:highlight w:val="none"/>
        </w:rPr>
        <w:t>。</w:t>
      </w:r>
    </w:p>
    <w:p w14:paraId="5B60FF41">
      <w:pPr>
        <w:kinsoku/>
        <w:overflowPunct/>
        <w:bidi w:val="0"/>
        <w:spacing w:line="360" w:lineRule="auto"/>
        <w:rPr>
          <w:color w:val="auto"/>
          <w:highlight w:val="none"/>
          <w:lang w:val="nb-NO"/>
        </w:rPr>
      </w:pPr>
      <w:r>
        <w:rPr>
          <w:color w:val="auto"/>
          <w:highlight w:val="none"/>
        </w:rPr>
        <w:t>6.14.</w:t>
      </w:r>
      <w:r>
        <w:rPr>
          <w:rFonts w:hint="eastAsia"/>
          <w:color w:val="auto"/>
          <w:highlight w:val="none"/>
          <w:lang w:eastAsia="zh"/>
          <w:woUserID w:val="3"/>
        </w:rPr>
        <w:t>7</w:t>
      </w:r>
      <w:r>
        <w:rPr>
          <w:color w:val="auto"/>
          <w:highlight w:val="none"/>
        </w:rPr>
        <w:t xml:space="preserve"> </w:t>
      </w:r>
      <w:r>
        <w:rPr>
          <w:rFonts w:hint="eastAsia"/>
          <w:color w:val="auto"/>
          <w:highlight w:val="none"/>
        </w:rPr>
        <w:t>超高性能混凝土动态压缩试验</w:t>
      </w:r>
      <w:r>
        <w:rPr>
          <w:rFonts w:hint="eastAsia"/>
          <w:color w:val="auto"/>
          <w:highlight w:val="none"/>
          <w:lang w:val="en-US" w:eastAsia="zh-CN"/>
        </w:rPr>
        <w:t>示例见附录A。</w:t>
      </w:r>
      <w:r>
        <w:rPr>
          <w:color w:val="auto"/>
          <w:highlight w:val="none"/>
          <w:lang w:val="nb-NO"/>
        </w:rPr>
        <w:br w:type="page"/>
      </w:r>
    </w:p>
    <w:p w14:paraId="3053C88F">
      <w:pPr>
        <w:pStyle w:val="64"/>
        <w:kinsoku/>
        <w:overflowPunct/>
        <w:bidi w:val="0"/>
        <w:spacing w:before="312" w:beforeLines="100" w:after="312" w:afterLines="100" w:line="360" w:lineRule="auto"/>
        <w:outlineLvl w:val="0"/>
        <w:rPr>
          <w:rFonts w:hint="default" w:ascii="Times New Roman" w:hAnsi="Times New Roman" w:eastAsia="宋体" w:cs="Times New Roman"/>
          <w:i/>
          <w:iCs/>
          <w:color w:val="auto"/>
          <w:highlight w:val="none"/>
          <w:lang w:val="en-US" w:eastAsia="zh-CN"/>
        </w:rPr>
      </w:pPr>
      <w:bookmarkStart w:id="101" w:name="_Toc13954"/>
      <w:r>
        <w:rPr>
          <w:rFonts w:hint="default" w:ascii="Times New Roman" w:hAnsi="Times New Roman" w:cs="Times New Roman"/>
          <w:color w:val="auto"/>
          <w:highlight w:val="none"/>
          <w:lang w:val="en-US" w:eastAsia="zh-CN"/>
        </w:rPr>
        <w:t>7  长期性能和耐久性能试验方法</w:t>
      </w:r>
      <w:bookmarkEnd w:id="101"/>
    </w:p>
    <w:p w14:paraId="7EC2F6F6">
      <w:pPr>
        <w:pStyle w:val="3"/>
        <w:tabs>
          <w:tab w:val="left" w:pos="576"/>
        </w:tabs>
        <w:kinsoku/>
        <w:overflowPunct/>
        <w:bidi w:val="0"/>
        <w:spacing w:before="0" w:after="0" w:line="360" w:lineRule="auto"/>
        <w:rPr>
          <w:rFonts w:hint="default" w:ascii="Times New Roman" w:hAnsi="Times New Roman" w:eastAsia="黑体" w:cs="Times New Roman"/>
          <w:b w:val="0"/>
          <w:bCs w:val="0"/>
          <w:color w:val="auto"/>
          <w:sz w:val="21"/>
          <w:szCs w:val="21"/>
          <w:highlight w:val="none"/>
          <w:lang w:val="en-US" w:eastAsia="zh-CN" w:bidi="ar-SA"/>
        </w:rPr>
      </w:pPr>
      <w:bookmarkStart w:id="102" w:name="_Toc198464426"/>
      <w:bookmarkStart w:id="103" w:name="_Toc197919637"/>
      <w:bookmarkStart w:id="104" w:name="_Toc146546868"/>
      <w:bookmarkStart w:id="105" w:name="_Toc198528359"/>
      <w:bookmarkStart w:id="106" w:name="_Toc200521230"/>
      <w:bookmarkStart w:id="107" w:name="_Toc15290451"/>
      <w:bookmarkStart w:id="108" w:name="_Toc146727224"/>
      <w:bookmarkStart w:id="109" w:name="_Toc245109890"/>
      <w:bookmarkStart w:id="110" w:name="_Toc2093"/>
      <w:r>
        <w:rPr>
          <w:rFonts w:hint="default" w:ascii="Times New Roman" w:hAnsi="Times New Roman" w:eastAsia="黑体" w:cs="Times New Roman"/>
          <w:b w:val="0"/>
          <w:bCs w:val="0"/>
          <w:color w:val="auto"/>
          <w:kern w:val="2"/>
          <w:sz w:val="21"/>
          <w:szCs w:val="21"/>
          <w:highlight w:val="none"/>
          <w:lang w:val="en-US" w:eastAsia="zh-CN" w:bidi="ar-SA"/>
        </w:rPr>
        <w:t>7.1  非接触法</w:t>
      </w:r>
      <w:bookmarkEnd w:id="102"/>
      <w:bookmarkEnd w:id="103"/>
      <w:bookmarkEnd w:id="104"/>
      <w:bookmarkEnd w:id="105"/>
      <w:bookmarkEnd w:id="106"/>
      <w:bookmarkEnd w:id="107"/>
      <w:bookmarkEnd w:id="108"/>
      <w:bookmarkEnd w:id="109"/>
      <w:r>
        <w:rPr>
          <w:rFonts w:hint="default" w:ascii="Times New Roman" w:hAnsi="Times New Roman" w:eastAsia="黑体" w:cs="Times New Roman"/>
          <w:b w:val="0"/>
          <w:bCs w:val="0"/>
          <w:i w:val="0"/>
          <w:iCs w:val="0"/>
          <w:color w:val="auto"/>
          <w:sz w:val="21"/>
          <w:szCs w:val="21"/>
          <w:highlight w:val="none"/>
          <w:lang w:val="en-US" w:eastAsia="zh-CN" w:bidi="ar-SA"/>
        </w:rPr>
        <w:t>早期自收缩试验</w:t>
      </w:r>
      <w:bookmarkEnd w:id="110"/>
    </w:p>
    <w:p w14:paraId="7BDF44ED">
      <w:pPr>
        <w:widowControl/>
        <w:numPr>
          <w:ilvl w:val="0"/>
          <w:numId w:val="0"/>
        </w:numPr>
        <w:kinsoku/>
        <w:overflowPunct/>
        <w:bidi w:val="0"/>
        <w:adjustRightInd/>
        <w:spacing w:line="360" w:lineRule="auto"/>
        <w:jc w:val="left"/>
        <w:rPr>
          <w:rFonts w:hint="default" w:ascii="Times New Roman" w:hAnsi="Times New Roman" w:cs="Times New Roman"/>
          <w:b w:val="0"/>
          <w:bCs w:val="0"/>
          <w:color w:val="auto"/>
          <w:szCs w:val="21"/>
          <w:highlight w:val="none"/>
        </w:rPr>
      </w:pPr>
      <w:r>
        <w:rPr>
          <w:rFonts w:hint="default" w:ascii="Times New Roman" w:hAnsi="Times New Roman" w:cs="Times New Roman"/>
          <w:bCs w:val="0"/>
          <w:color w:val="auto"/>
          <w:szCs w:val="21"/>
          <w:highlight w:val="none"/>
          <w:lang w:val="en-US" w:eastAsia="zh-CN"/>
        </w:rPr>
        <w:t>7</w:t>
      </w:r>
      <w:r>
        <w:rPr>
          <w:rFonts w:hint="default" w:ascii="Times New Roman" w:hAnsi="Times New Roman" w:eastAsia="宋体" w:cs="Times New Roman"/>
          <w:bCs w:val="0"/>
          <w:color w:val="auto"/>
          <w:szCs w:val="21"/>
          <w:highlight w:val="none"/>
        </w:rPr>
        <w:t>.1.1</w:t>
      </w:r>
      <w:r>
        <w:rPr>
          <w:rFonts w:hint="default" w:ascii="Times New Roman" w:hAnsi="Times New Roman" w:cs="Times New Roman"/>
          <w:bCs w:val="0"/>
          <w:color w:val="auto"/>
          <w:szCs w:val="21"/>
          <w:highlight w:val="none"/>
        </w:rPr>
        <w:t xml:space="preserve">  本方法主要适用于</w:t>
      </w:r>
      <w:r>
        <w:rPr>
          <w:rFonts w:hint="default" w:ascii="Times New Roman" w:hAnsi="Times New Roman" w:cs="Times New Roman"/>
          <w:color w:val="auto"/>
          <w:szCs w:val="21"/>
          <w:highlight w:val="none"/>
        </w:rPr>
        <w:t>测定早龄期</w:t>
      </w:r>
      <w:r>
        <w:rPr>
          <w:rFonts w:hint="default" w:ascii="Times New Roman" w:hAnsi="Times New Roman" w:cs="Times New Roman"/>
          <w:color w:val="auto"/>
          <w:szCs w:val="21"/>
          <w:highlight w:val="none"/>
          <w:lang w:eastAsia="zh-CN"/>
        </w:rPr>
        <w:t>超高性能混凝土</w:t>
      </w:r>
      <w:r>
        <w:rPr>
          <w:rFonts w:hint="default" w:ascii="Times New Roman" w:hAnsi="Times New Roman" w:cs="Times New Roman"/>
          <w:color w:val="auto"/>
          <w:szCs w:val="21"/>
          <w:highlight w:val="none"/>
        </w:rPr>
        <w:t>的自由收缩变形，也可用于无约束状态下</w:t>
      </w:r>
      <w:r>
        <w:rPr>
          <w:rFonts w:hint="default" w:ascii="Times New Roman" w:hAnsi="Times New Roman" w:cs="Times New Roman"/>
          <w:color w:val="auto"/>
          <w:szCs w:val="21"/>
          <w:highlight w:val="none"/>
          <w:lang w:eastAsia="zh-CN"/>
        </w:rPr>
        <w:t>超高性能混凝土</w:t>
      </w:r>
      <w:r>
        <w:rPr>
          <w:rFonts w:hint="default" w:ascii="Times New Roman" w:hAnsi="Times New Roman" w:cs="Times New Roman"/>
          <w:color w:val="auto"/>
          <w:szCs w:val="21"/>
          <w:highlight w:val="none"/>
        </w:rPr>
        <w:t>自收缩变形的测定。</w:t>
      </w:r>
    </w:p>
    <w:p w14:paraId="5E4D01F7">
      <w:pPr>
        <w:widowControl/>
        <w:numPr>
          <w:ilvl w:val="0"/>
          <w:numId w:val="0"/>
        </w:numPr>
        <w:kinsoku/>
        <w:overflowPunct/>
        <w:bidi w:val="0"/>
        <w:adjustRightInd/>
        <w:spacing w:line="360" w:lineRule="auto"/>
        <w:jc w:val="left"/>
        <w:rPr>
          <w:rFonts w:hint="default" w:ascii="Times New Roman" w:hAnsi="Times New Roman" w:cs="Times New Roman"/>
          <w:color w:val="auto"/>
          <w:szCs w:val="21"/>
          <w:highlight w:val="none"/>
        </w:rPr>
      </w:pPr>
      <w:r>
        <w:rPr>
          <w:rFonts w:hint="default" w:ascii="Times New Roman" w:hAnsi="Times New Roman" w:cs="Times New Roman"/>
          <w:bCs w:val="0"/>
          <w:color w:val="auto"/>
          <w:szCs w:val="21"/>
          <w:highlight w:val="none"/>
          <w:lang w:val="en-US" w:eastAsia="zh-CN"/>
        </w:rPr>
        <w:t>7</w:t>
      </w:r>
      <w:r>
        <w:rPr>
          <w:rFonts w:hint="default" w:ascii="Times New Roman" w:hAnsi="Times New Roman" w:eastAsia="宋体" w:cs="Times New Roman"/>
          <w:bCs w:val="0"/>
          <w:color w:val="auto"/>
          <w:szCs w:val="21"/>
          <w:highlight w:val="none"/>
        </w:rPr>
        <w:t>.1.2</w:t>
      </w:r>
      <w:r>
        <w:rPr>
          <w:rFonts w:hint="default" w:ascii="Times New Roman" w:hAnsi="Times New Roman" w:cs="Times New Roman"/>
          <w:color w:val="auto"/>
          <w:szCs w:val="21"/>
          <w:highlight w:val="none"/>
        </w:rPr>
        <w:t xml:space="preserve">  本方法应采用尺寸为100mm×100mm×515mm的棱柱体试件。每组应为3个试件。</w:t>
      </w:r>
    </w:p>
    <w:p w14:paraId="6B41A92E">
      <w:pPr>
        <w:widowControl/>
        <w:numPr>
          <w:ilvl w:val="0"/>
          <w:numId w:val="0"/>
        </w:numPr>
        <w:kinsoku/>
        <w:overflowPunct/>
        <w:bidi w:val="0"/>
        <w:adjustRightInd/>
        <w:spacing w:line="360" w:lineRule="auto"/>
        <w:jc w:val="left"/>
        <w:rPr>
          <w:rFonts w:hint="default" w:ascii="Times New Roman" w:hAnsi="Times New Roman" w:cs="Times New Roman"/>
          <w:color w:val="auto"/>
          <w:szCs w:val="21"/>
          <w:highlight w:val="none"/>
        </w:rPr>
      </w:pPr>
      <w:r>
        <w:rPr>
          <w:rFonts w:hint="default" w:ascii="Times New Roman" w:hAnsi="Times New Roman" w:cs="Times New Roman"/>
          <w:bCs w:val="0"/>
          <w:color w:val="auto"/>
          <w:szCs w:val="21"/>
          <w:highlight w:val="none"/>
          <w:lang w:val="en-US" w:eastAsia="zh-CN"/>
        </w:rPr>
        <w:t>7</w:t>
      </w:r>
      <w:r>
        <w:rPr>
          <w:rFonts w:hint="default" w:ascii="Times New Roman" w:hAnsi="Times New Roman" w:eastAsia="宋体" w:cs="Times New Roman"/>
          <w:bCs w:val="0"/>
          <w:color w:val="auto"/>
          <w:szCs w:val="21"/>
          <w:highlight w:val="none"/>
        </w:rPr>
        <w:t>.1.3</w:t>
      </w:r>
      <w:r>
        <w:rPr>
          <w:rFonts w:hint="default" w:ascii="Times New Roman" w:hAnsi="Times New Roman" w:eastAsia="宋体" w:cs="Times New Roman"/>
          <w:b w:val="0"/>
          <w:bCs w:val="0"/>
          <w:color w:val="auto"/>
          <w:szCs w:val="21"/>
          <w:highlight w:val="none"/>
        </w:rPr>
        <w:t xml:space="preserve">  </w:t>
      </w:r>
      <w:r>
        <w:rPr>
          <w:rFonts w:hint="default" w:ascii="Times New Roman" w:hAnsi="Times New Roman" w:cs="Times New Roman"/>
          <w:color w:val="auto"/>
          <w:szCs w:val="21"/>
          <w:highlight w:val="none"/>
        </w:rPr>
        <w:t>试验设备应符合下列规定：</w:t>
      </w:r>
    </w:p>
    <w:p w14:paraId="4B19E42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bCs w:val="0"/>
          <w:color w:val="auto"/>
          <w:szCs w:val="21"/>
          <w:highlight w:val="none"/>
        </w:rPr>
        <w:t>1</w:t>
      </w:r>
      <w:r>
        <w:rPr>
          <w:rFonts w:hint="default" w:ascii="Times New Roman" w:hAnsi="Times New Roman" w:cs="Times New Roman"/>
          <w:color w:val="auto"/>
          <w:szCs w:val="21"/>
          <w:highlight w:val="none"/>
        </w:rPr>
        <w:t xml:space="preserve">  非接触法</w:t>
      </w:r>
      <w:r>
        <w:rPr>
          <w:rFonts w:hint="default" w:ascii="Times New Roman" w:hAnsi="Times New Roman" w:cs="Times New Roman"/>
          <w:color w:val="auto"/>
          <w:szCs w:val="21"/>
          <w:highlight w:val="none"/>
          <w:lang w:eastAsia="zh-CN"/>
        </w:rPr>
        <w:t>超高性能混凝土</w:t>
      </w:r>
      <w:r>
        <w:rPr>
          <w:rFonts w:hint="default" w:ascii="Times New Roman" w:hAnsi="Times New Roman" w:cs="Times New Roman"/>
          <w:color w:val="auto"/>
          <w:szCs w:val="21"/>
          <w:highlight w:val="none"/>
        </w:rPr>
        <w:t>收缩变形测定仪（图</w:t>
      </w:r>
      <w:r>
        <w:rPr>
          <w:rFonts w:hint="default" w:ascii="Times New Roman" w:hAnsi="Times New Roman" w:cs="Times New Roman"/>
          <w:color w:val="auto"/>
          <w:szCs w:val="21"/>
          <w:highlight w:val="none"/>
          <w:lang w:eastAsia="zh-CN"/>
        </w:rPr>
        <w:t>7</w:t>
      </w:r>
      <w:r>
        <w:rPr>
          <w:rFonts w:hint="default" w:ascii="Times New Roman" w:hAnsi="Times New Roman" w:cs="Times New Roman"/>
          <w:color w:val="auto"/>
          <w:szCs w:val="21"/>
          <w:highlight w:val="none"/>
        </w:rPr>
        <w:t>.1.3）应设计成整机一体化装置，并应具备自动采集和处理数据、设定采样时间间隔等功能。整个测试装置应固定于具有避震功能的固定式实验台面上。</w:t>
      </w:r>
    </w:p>
    <w:p w14:paraId="2EF2E61E">
      <w:pPr>
        <w:kinsoku/>
        <w:overflowPunct/>
        <w:bidi w:val="0"/>
        <w:adjustRightInd w:val="0"/>
        <w:spacing w:line="360" w:lineRule="auto"/>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037455" cy="1927860"/>
            <wp:effectExtent l="0" t="0" r="0" b="15875"/>
            <wp:docPr id="12"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descr="14"/>
                    <pic:cNvPicPr>
                      <a:picLocks noChangeAspect="1"/>
                    </pic:cNvPicPr>
                  </pic:nvPicPr>
                  <pic:blipFill>
                    <a:blip r:embed="rId181"/>
                    <a:stretch>
                      <a:fillRect/>
                    </a:stretch>
                  </pic:blipFill>
                  <pic:spPr>
                    <a:xfrm>
                      <a:off x="0" y="0"/>
                      <a:ext cx="5037455" cy="1927860"/>
                    </a:xfrm>
                    <a:prstGeom prst="rect">
                      <a:avLst/>
                    </a:prstGeom>
                    <a:noFill/>
                    <a:ln>
                      <a:noFill/>
                    </a:ln>
                  </pic:spPr>
                </pic:pic>
              </a:graphicData>
            </a:graphic>
          </wp:inline>
        </w:drawing>
      </w:r>
    </w:p>
    <w:p w14:paraId="21BB526C">
      <w:pPr>
        <w:kinsoku/>
        <w:overflowPunct/>
        <w:topLinePunct/>
        <w:bidi w:val="0"/>
        <w:adjustRightInd w:val="0"/>
        <w:snapToGrid w:val="0"/>
        <w:spacing w:line="360" w:lineRule="auto"/>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图</w:t>
      </w:r>
      <w:r>
        <w:rPr>
          <w:rFonts w:hint="default" w:ascii="Times New Roman" w:hAnsi="Times New Roman" w:cs="Times New Roman"/>
          <w:color w:val="auto"/>
          <w:kern w:val="0"/>
          <w:sz w:val="18"/>
          <w:szCs w:val="18"/>
          <w:highlight w:val="none"/>
          <w:lang w:eastAsia="zh-CN"/>
        </w:rPr>
        <w:t>7</w:t>
      </w:r>
      <w:r>
        <w:rPr>
          <w:rFonts w:ascii="Times New Roman" w:hAnsi="Times New Roman" w:cs="Times New Roman"/>
          <w:color w:val="auto"/>
          <w:kern w:val="0"/>
          <w:sz w:val="18"/>
          <w:szCs w:val="18"/>
          <w:highlight w:val="none"/>
        </w:rPr>
        <w:t>.1.3 非接触法</w:t>
      </w:r>
      <w:r>
        <w:rPr>
          <w:rFonts w:hint="default" w:ascii="Times New Roman" w:hAnsi="Times New Roman" w:cs="Times New Roman"/>
          <w:color w:val="auto"/>
          <w:kern w:val="0"/>
          <w:sz w:val="18"/>
          <w:szCs w:val="18"/>
          <w:highlight w:val="none"/>
          <w:lang w:eastAsia="zh-CN"/>
        </w:rPr>
        <w:t>超高性能混凝土</w:t>
      </w:r>
      <w:r>
        <w:rPr>
          <w:rFonts w:ascii="Times New Roman" w:hAnsi="Times New Roman" w:cs="Times New Roman"/>
          <w:color w:val="auto"/>
          <w:kern w:val="0"/>
          <w:sz w:val="18"/>
          <w:szCs w:val="18"/>
          <w:highlight w:val="none"/>
        </w:rPr>
        <w:t>收缩变形测定仪原理示意图（mm）</w:t>
      </w:r>
    </w:p>
    <w:p w14:paraId="415F6B24">
      <w:pPr>
        <w:kinsoku/>
        <w:overflowPunct/>
        <w:topLinePunct/>
        <w:bidi w:val="0"/>
        <w:adjustRightInd w:val="0"/>
        <w:snapToGrid w:val="0"/>
        <w:spacing w:line="360" w:lineRule="auto"/>
        <w:ind w:firstLine="300" w:firstLineChars="200"/>
        <w:jc w:val="center"/>
        <w:rPr>
          <w:rFonts w:ascii="Times New Roman" w:hAnsi="Times New Roman" w:cs="Times New Roman"/>
          <w:color w:val="auto"/>
          <w:highlight w:val="none"/>
        </w:rPr>
      </w:pPr>
      <w:r>
        <w:rPr>
          <w:rFonts w:ascii="Times New Roman" w:hAnsi="Times New Roman" w:cs="Times New Roman"/>
          <w:color w:val="auto"/>
          <w:kern w:val="0"/>
          <w:sz w:val="15"/>
          <w:szCs w:val="15"/>
          <w:highlight w:val="none"/>
        </w:rPr>
        <w:t>1-试模；2-固定架；3-传感器探头；4-反射靶</w:t>
      </w:r>
    </w:p>
    <w:p w14:paraId="0CC45793">
      <w:pPr>
        <w:kinsoku/>
        <w:overflowPunct/>
        <w:topLinePunct/>
        <w:bidi w:val="0"/>
        <w:adjustRightInd w:val="0"/>
        <w:snapToGrid w:val="0"/>
        <w:spacing w:line="360" w:lineRule="auto"/>
        <w:ind w:firstLine="300" w:firstLineChars="200"/>
        <w:jc w:val="center"/>
        <w:rPr>
          <w:rFonts w:ascii="Times New Roman" w:hAnsi="Times New Roman" w:cs="Times New Roman"/>
          <w:color w:val="auto"/>
          <w:sz w:val="15"/>
          <w:szCs w:val="15"/>
          <w:highlight w:val="none"/>
        </w:rPr>
      </w:pPr>
    </w:p>
    <w:p w14:paraId="17B1A18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val="0"/>
          <w:color w:val="auto"/>
          <w:szCs w:val="21"/>
          <w:highlight w:val="none"/>
          <w:lang w:val="en-US" w:eastAsia="zh-CN"/>
        </w:rPr>
      </w:pPr>
      <w:r>
        <w:rPr>
          <w:rFonts w:hint="default" w:ascii="Times New Roman" w:hAnsi="Times New Roman" w:cs="Times New Roman"/>
          <w:bCs w:val="0"/>
          <w:color w:val="auto"/>
          <w:szCs w:val="21"/>
          <w:highlight w:val="none"/>
          <w:lang w:val="en-US" w:eastAsia="zh-CN"/>
        </w:rPr>
        <w:t>2  应采用可靠方式将反射靶固定于试模上，使反射靶在试件成型浇筑振动过程中不会移位偏斜，成型完成后应能保证反射靶与试模之间摩擦力尽可能小。试模应采用具有足够刚度的钢模，试模的长度应能保证超高性能混凝土试件的测量标距不小于400mm。</w:t>
      </w:r>
    </w:p>
    <w:p w14:paraId="29720B8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val="0"/>
          <w:color w:val="auto"/>
          <w:szCs w:val="21"/>
          <w:highlight w:val="none"/>
          <w:lang w:val="en-US" w:eastAsia="zh-CN"/>
        </w:rPr>
      </w:pPr>
      <w:r>
        <w:rPr>
          <w:rFonts w:hint="default" w:ascii="Times New Roman" w:hAnsi="Times New Roman" w:cs="Times New Roman"/>
          <w:bCs w:val="0"/>
          <w:color w:val="auto"/>
          <w:szCs w:val="21"/>
          <w:highlight w:val="none"/>
          <w:lang w:val="en-US" w:eastAsia="zh-CN"/>
        </w:rPr>
        <w:t>3  传感器的测试最大量程不应小于试件测量标距长度的0.5%且不应小于1mm，测试精度不应低于0.002mm，且应采用可靠方式将传感器测头固定，使测头在测量整个过程中与试模相对位置保持固定不变。试验过程中应保证反射靶能够随着超高性能混凝土收缩而同步移动。</w:t>
      </w:r>
    </w:p>
    <w:p w14:paraId="40FCBE1B">
      <w:pPr>
        <w:widowControl/>
        <w:numPr>
          <w:ilvl w:val="0"/>
          <w:numId w:val="0"/>
        </w:numPr>
        <w:kinsoku/>
        <w:overflowPunct/>
        <w:bidi w:val="0"/>
        <w:adjustRightInd/>
        <w:spacing w:line="360" w:lineRule="auto"/>
        <w:ind w:firstLine="0"/>
        <w:jc w:val="left"/>
        <w:rPr>
          <w:rFonts w:hint="default" w:ascii="Times New Roman" w:hAnsi="Times New Roman" w:cs="Times New Roman"/>
          <w:bCs w:val="0"/>
          <w:color w:val="auto"/>
          <w:szCs w:val="21"/>
          <w:highlight w:val="none"/>
          <w:lang w:val="en-US" w:eastAsia="zh-CN"/>
        </w:rPr>
      </w:pPr>
      <w:r>
        <w:rPr>
          <w:rFonts w:hint="default" w:ascii="Times New Roman" w:hAnsi="Times New Roman" w:cs="Times New Roman"/>
          <w:bCs w:val="0"/>
          <w:color w:val="auto"/>
          <w:szCs w:val="21"/>
          <w:highlight w:val="none"/>
          <w:lang w:val="en-US" w:eastAsia="zh-CN"/>
        </w:rPr>
        <w:t>7.1.4  非接触法收缩试验应按下列步骤进行：</w:t>
      </w:r>
    </w:p>
    <w:p w14:paraId="3932FDB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val="0"/>
          <w:color w:val="auto"/>
          <w:szCs w:val="21"/>
          <w:highlight w:val="none"/>
          <w:lang w:val="en-US" w:eastAsia="zh-CN"/>
        </w:rPr>
      </w:pPr>
      <w:r>
        <w:rPr>
          <w:rFonts w:hint="default" w:ascii="Times New Roman" w:hAnsi="Times New Roman" w:cs="Times New Roman"/>
          <w:bCs w:val="0"/>
          <w:color w:val="auto"/>
          <w:szCs w:val="21"/>
          <w:highlight w:val="none"/>
          <w:lang w:val="en-US" w:eastAsia="zh-CN"/>
        </w:rPr>
        <w:t>1  试验应在温度为（20±2）℃、相对湿度为（60±5）%的恒温恒湿条件下进行。非接触法收缩试验应带模进行测试。</w:t>
      </w:r>
    </w:p>
    <w:p w14:paraId="242B583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val="0"/>
          <w:color w:val="auto"/>
          <w:szCs w:val="21"/>
          <w:highlight w:val="none"/>
          <w:lang w:val="en-US" w:eastAsia="zh-CN"/>
        </w:rPr>
      </w:pPr>
      <w:r>
        <w:rPr>
          <w:rFonts w:hint="default" w:ascii="Times New Roman" w:hAnsi="Times New Roman" w:cs="Times New Roman"/>
          <w:bCs w:val="0"/>
          <w:color w:val="auto"/>
          <w:szCs w:val="21"/>
          <w:highlight w:val="none"/>
          <w:lang w:val="en-US" w:eastAsia="zh-CN"/>
        </w:rPr>
        <w:t>2  应在试模内涂刷润滑油，然后在试模内铺设两层塑料薄膜或者放置一片聚四氟乙烯片，并在薄膜或聚四氟乙烯片与试模接触的面上均匀涂抹一层润滑油，应将反射靶固定在试模两端。</w:t>
      </w:r>
    </w:p>
    <w:p w14:paraId="0CAB38D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val="0"/>
          <w:color w:val="auto"/>
          <w:szCs w:val="21"/>
          <w:highlight w:val="none"/>
          <w:lang w:val="en-US" w:eastAsia="zh-CN"/>
        </w:rPr>
      </w:pPr>
      <w:r>
        <w:rPr>
          <w:rFonts w:hint="default" w:ascii="Times New Roman" w:hAnsi="Times New Roman" w:cs="Times New Roman"/>
          <w:bCs w:val="0"/>
          <w:color w:val="auto"/>
          <w:szCs w:val="21"/>
          <w:highlight w:val="none"/>
          <w:lang w:val="en-US" w:eastAsia="zh-CN"/>
        </w:rPr>
        <w:t>3  将超高性能混凝土拌合物浇筑入试模后，应振动成型并抹平，然后立即带模移入恒温恒湿室。成型试件的同时，应测定超高性能混凝土的初凝时间。超高性能混凝土初凝试验和早龄期收缩试验的环境应相同。当超高性能混凝土初凝时，应开始测读试件左右两侧的初始读数，此后应每隔1h或按设定的时间间隔测定试件两侧的变形读数。</w:t>
      </w:r>
    </w:p>
    <w:p w14:paraId="0822548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val="0"/>
          <w:color w:val="auto"/>
          <w:szCs w:val="21"/>
          <w:highlight w:val="none"/>
          <w:lang w:val="en-US" w:eastAsia="zh-CN"/>
        </w:rPr>
      </w:pPr>
      <w:r>
        <w:rPr>
          <w:rFonts w:hint="default" w:ascii="Times New Roman" w:hAnsi="Times New Roman" w:cs="Times New Roman"/>
          <w:bCs w:val="0"/>
          <w:color w:val="auto"/>
          <w:szCs w:val="21"/>
          <w:highlight w:val="none"/>
          <w:lang w:val="en-US" w:eastAsia="zh-CN"/>
        </w:rPr>
        <w:t>4  在整个测试过程中，试件在变形测定仪上放置的位置、方向均应始终保持固定不变。</w:t>
      </w:r>
    </w:p>
    <w:p w14:paraId="444EBD3C">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val="0"/>
          <w:color w:val="auto"/>
          <w:szCs w:val="21"/>
          <w:highlight w:val="none"/>
          <w:lang w:val="en-US" w:eastAsia="zh-CN"/>
        </w:rPr>
      </w:pPr>
      <w:r>
        <w:rPr>
          <w:rFonts w:hint="default" w:ascii="Times New Roman" w:hAnsi="Times New Roman" w:cs="Times New Roman"/>
          <w:bCs w:val="0"/>
          <w:color w:val="auto"/>
          <w:szCs w:val="21"/>
          <w:highlight w:val="none"/>
          <w:lang w:val="en-US" w:eastAsia="zh-CN"/>
        </w:rPr>
        <w:t>5  需要测定超高性能混凝土自收缩值的试件，应在浇筑振捣后立即采用塑料薄膜作密封处理。</w:t>
      </w:r>
    </w:p>
    <w:p w14:paraId="164D7C5A">
      <w:pPr>
        <w:widowControl/>
        <w:numPr>
          <w:ilvl w:val="0"/>
          <w:numId w:val="0"/>
        </w:numPr>
        <w:kinsoku/>
        <w:overflowPunct/>
        <w:bidi w:val="0"/>
        <w:adjustRightInd/>
        <w:spacing w:line="360" w:lineRule="auto"/>
        <w:ind w:firstLine="0"/>
        <w:jc w:val="left"/>
        <w:rPr>
          <w:rFonts w:hint="default" w:ascii="Times New Roman" w:hAnsi="Times New Roman" w:cs="Times New Roman"/>
          <w:bCs w:val="0"/>
          <w:color w:val="auto"/>
          <w:szCs w:val="21"/>
          <w:highlight w:val="none"/>
          <w:lang w:val="en-US" w:eastAsia="zh-CN"/>
        </w:rPr>
      </w:pPr>
      <w:r>
        <w:rPr>
          <w:rFonts w:hint="default" w:ascii="Times New Roman" w:hAnsi="Times New Roman" w:cs="Times New Roman"/>
          <w:bCs w:val="0"/>
          <w:color w:val="auto"/>
          <w:szCs w:val="21"/>
          <w:highlight w:val="none"/>
          <w:lang w:val="en-US" w:eastAsia="zh-CN"/>
        </w:rPr>
        <w:t>7.1.5  非接触法收缩试验结果计算处理应符合下列规定：</w:t>
      </w:r>
    </w:p>
    <w:p w14:paraId="60759D0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val="0"/>
          <w:color w:val="auto"/>
          <w:szCs w:val="21"/>
          <w:highlight w:val="none"/>
          <w:lang w:val="en-US" w:eastAsia="zh-CN"/>
        </w:rPr>
      </w:pPr>
      <w:r>
        <w:rPr>
          <w:rFonts w:hint="default" w:ascii="Times New Roman" w:hAnsi="Times New Roman" w:cs="Times New Roman"/>
          <w:bCs w:val="0"/>
          <w:color w:val="auto"/>
          <w:szCs w:val="21"/>
          <w:highlight w:val="none"/>
          <w:lang w:val="en-US" w:eastAsia="zh-CN"/>
        </w:rPr>
        <w:t>1  超高性能混凝土收缩率应按照下式计算：</w:t>
      </w:r>
    </w:p>
    <w:tbl>
      <w:tblPr>
        <w:tblStyle w:val="38"/>
        <w:tblW w:w="5000" w:type="pct"/>
        <w:jc w:val="center"/>
        <w:tblLayout w:type="autofit"/>
        <w:tblCellMar>
          <w:top w:w="0" w:type="dxa"/>
          <w:left w:w="0" w:type="dxa"/>
          <w:bottom w:w="0" w:type="dxa"/>
          <w:right w:w="0" w:type="dxa"/>
        </w:tblCellMar>
      </w:tblPr>
      <w:tblGrid>
        <w:gridCol w:w="1336"/>
        <w:gridCol w:w="5345"/>
        <w:gridCol w:w="2674"/>
      </w:tblGrid>
      <w:tr w14:paraId="1B33581C">
        <w:tblPrEx>
          <w:tblCellMar>
            <w:top w:w="0" w:type="dxa"/>
            <w:left w:w="0" w:type="dxa"/>
            <w:bottom w:w="0" w:type="dxa"/>
            <w:right w:w="0" w:type="dxa"/>
          </w:tblCellMar>
        </w:tblPrEx>
        <w:trPr>
          <w:jc w:val="center"/>
        </w:trPr>
        <w:tc>
          <w:tcPr>
            <w:tcW w:w="714" w:type="pct"/>
            <w:noWrap w:val="0"/>
            <w:vAlign w:val="center"/>
          </w:tcPr>
          <w:p w14:paraId="596B0538">
            <w:pPr>
              <w:pStyle w:val="124"/>
              <w:keepNext w:val="0"/>
              <w:keepLines w:val="0"/>
              <w:suppressLineNumbers w:val="0"/>
              <w:kinsoku/>
              <w:overflowPunct/>
              <w:bidi w:val="0"/>
              <w:spacing w:before="0" w:beforeAutospacing="0" w:after="0" w:afterAutospacing="0" w:line="360" w:lineRule="auto"/>
              <w:ind w:left="0" w:right="0" w:firstLine="0"/>
              <w:jc w:val="center"/>
              <w:rPr>
                <w:rFonts w:hint="default" w:ascii="Times New Roman" w:hAnsi="Times New Roman" w:cs="Times New Roman"/>
                <w:color w:val="auto"/>
                <w:sz w:val="21"/>
                <w:szCs w:val="21"/>
                <w:highlight w:val="none"/>
              </w:rPr>
            </w:pPr>
          </w:p>
        </w:tc>
        <w:tc>
          <w:tcPr>
            <w:tcW w:w="2857" w:type="pct"/>
            <w:noWrap w:val="0"/>
            <w:vAlign w:val="center"/>
          </w:tcPr>
          <w:p w14:paraId="6C11C7D4">
            <w:pPr>
              <w:pStyle w:val="124"/>
              <w:keepNext w:val="0"/>
              <w:keepLines w:val="0"/>
              <w:suppressLineNumbers w:val="0"/>
              <w:kinsoku/>
              <w:overflowPunct/>
              <w:bidi w:val="0"/>
              <w:spacing w:before="0" w:beforeAutospacing="0" w:after="0" w:afterAutospacing="0" w:line="36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30"/>
                <w:sz w:val="21"/>
                <w:szCs w:val="21"/>
                <w:highlight w:val="none"/>
              </w:rPr>
              <w:object>
                <v:shape id="_x0000_i1094" o:spt="75" type="#_x0000_t75" style="height:35pt;width:142pt;" o:ole="t" filled="f" o:preferrelative="t" stroked="f" coordsize="21600,21600">
                  <v:path/>
                  <v:fill on="f" alignshape="1" focussize="0,0"/>
                  <v:stroke on="f"/>
                  <v:imagedata r:id="rId183" o:title=""/>
                  <o:lock v:ext="edit" aspectratio="t"/>
                  <w10:wrap type="none"/>
                  <w10:anchorlock/>
                </v:shape>
                <o:OLEObject Type="Embed" ProgID="Equation.3" ShapeID="_x0000_i1094" DrawAspect="Content" ObjectID="_1468075794" r:id="rId182">
                  <o:LockedField>false</o:LockedField>
                </o:OLEObject>
              </w:object>
            </w:r>
          </w:p>
        </w:tc>
        <w:tc>
          <w:tcPr>
            <w:tcW w:w="1429" w:type="pct"/>
            <w:noWrap w:val="0"/>
            <w:vAlign w:val="center"/>
          </w:tcPr>
          <w:p w14:paraId="2EB39CFD">
            <w:pPr>
              <w:pStyle w:val="124"/>
              <w:keepNext w:val="0"/>
              <w:keepLines w:val="0"/>
              <w:suppressLineNumbers w:val="0"/>
              <w:kinsoku/>
              <w:overflowPunct/>
              <w:bidi w:val="0"/>
              <w:spacing w:before="0" w:beforeAutospacing="0" w:after="0" w:afterAutospacing="0" w:line="360" w:lineRule="auto"/>
              <w:ind w:left="0" w:right="0" w:firstLine="0"/>
              <w:jc w:val="righ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7</w:t>
            </w:r>
            <w:r>
              <w:rPr>
                <w:rFonts w:hint="default" w:ascii="Times New Roman" w:hAnsi="Times New Roman" w:cs="Times New Roman"/>
                <w:color w:val="auto"/>
                <w:sz w:val="21"/>
                <w:szCs w:val="21"/>
                <w:highlight w:val="none"/>
              </w:rPr>
              <w:t>.1.5)</w:t>
            </w:r>
          </w:p>
        </w:tc>
      </w:tr>
    </w:tbl>
    <w:p w14:paraId="6E26F809">
      <w:pPr>
        <w:keepNext w:val="0"/>
        <w:keepLines w:val="0"/>
        <w:pageBreakBefore w:val="0"/>
        <w:widowControl w:val="0"/>
        <w:kinsoku/>
        <w:wordWrap/>
        <w:overflowPunct/>
        <w:topLinePunct w:val="0"/>
        <w:autoSpaceDE/>
        <w:autoSpaceDN/>
        <w:bidi w:val="0"/>
        <w:adjustRightInd w:val="0"/>
        <w:snapToGrid/>
        <w:spacing w:line="360" w:lineRule="auto"/>
        <w:textAlignment w:val="auto"/>
        <w:rPr>
          <w:rFonts w:ascii="Times New Roman" w:hAnsi="Times New Roman" w:cs="Times New Roman"/>
          <w:color w:val="auto"/>
          <w:highlight w:val="none"/>
        </w:rPr>
      </w:pPr>
      <w:r>
        <w:rPr>
          <w:rFonts w:ascii="Times New Roman" w:hAnsi="Times New Roman" w:cs="Times New Roman"/>
          <w:color w:val="auto"/>
          <w:highlight w:val="none"/>
        </w:rPr>
        <w:t>式中：</w:t>
      </w:r>
      <w:r>
        <w:rPr>
          <w:rFonts w:ascii="Times New Roman" w:hAnsi="Times New Roman" w:cs="Times New Roman"/>
          <w:color w:val="auto"/>
          <w:position w:val="-10"/>
          <w:highlight w:val="none"/>
        </w:rPr>
        <w:object>
          <v:shape id="_x0000_i1095" o:spt="75" type="#_x0000_t75" style="height:15pt;width:13.95pt;" o:ole="t" filled="f" o:preferrelative="t" stroked="f" coordsize="21600,21600">
            <v:path/>
            <v:fill on="f" alignshape="1" focussize="0,0"/>
            <v:stroke on="f"/>
            <v:imagedata r:id="rId185" o:title=""/>
            <o:lock v:ext="edit" aspectratio="t"/>
            <w10:wrap type="none"/>
            <w10:anchorlock/>
          </v:shape>
          <o:OLEObject Type="Embed" ProgID="Equation.3" ShapeID="_x0000_i1095" DrawAspect="Content" ObjectID="_1468075795" r:id="rId184">
            <o:LockedField>false</o:LockedField>
          </o:OLEObject>
        </w:object>
      </w:r>
      <w:r>
        <w:rPr>
          <w:rFonts w:ascii="Times New Roman" w:hAnsi="Times New Roman" w:cs="Times New Roman"/>
          <w:color w:val="auto"/>
          <w:highlight w:val="none"/>
        </w:rPr>
        <w:t>——测试期为</w:t>
      </w:r>
      <w:r>
        <w:rPr>
          <w:rFonts w:ascii="Times New Roman" w:hAnsi="Times New Roman" w:cs="Times New Roman"/>
          <w:color w:val="auto"/>
          <w:position w:val="-6"/>
          <w:highlight w:val="none"/>
        </w:rPr>
        <w:object>
          <v:shape id="_x0000_i1096" o:spt="75" type="#_x0000_t75" style="height:11pt;width:6.95pt;" o:ole="t" filled="f" o:preferrelative="t" stroked="f" coordsize="21600,21600">
            <v:path/>
            <v:fill on="f" alignshape="1" focussize="0,0"/>
            <v:stroke on="f"/>
            <v:imagedata r:id="rId187" o:title=""/>
            <o:lock v:ext="edit" aspectratio="t"/>
            <w10:wrap type="none"/>
            <w10:anchorlock/>
          </v:shape>
          <o:OLEObject Type="Embed" ProgID="Equation.3" ShapeID="_x0000_i1096" DrawAspect="Content" ObjectID="_1468075796" r:id="rId186">
            <o:LockedField>false</o:LockedField>
          </o:OLEObject>
        </w:object>
      </w:r>
      <w:r>
        <w:rPr>
          <w:rFonts w:ascii="Times New Roman" w:hAnsi="Times New Roman" w:cs="Times New Roman"/>
          <w:color w:val="auto"/>
          <w:highlight w:val="none"/>
        </w:rPr>
        <w:t>(h)的</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收缩率</w:t>
      </w:r>
      <w:r>
        <w:rPr>
          <w:rFonts w:ascii="Times New Roman" w:hAnsi="Times New Roman" w:cs="Times New Roman"/>
          <w:color w:val="auto"/>
          <w:szCs w:val="21"/>
          <w:highlight w:val="none"/>
        </w:rPr>
        <w:t>，</w:t>
      </w:r>
      <w:r>
        <w:rPr>
          <w:rFonts w:ascii="Times New Roman" w:hAnsi="Times New Roman" w:cs="Times New Roman"/>
          <w:color w:val="auto"/>
          <w:position w:val="-6"/>
          <w:szCs w:val="21"/>
          <w:highlight w:val="none"/>
        </w:rPr>
        <w:object>
          <v:shape id="_x0000_i1097" o:spt="75" type="#_x0000_t75" style="height:11pt;width:6.95pt;" o:ole="t" filled="f" o:preferrelative="t" stroked="f" coordsize="21600,21600">
            <v:path/>
            <v:fill on="f" alignshape="1" focussize="0,0"/>
            <v:stroke on="f"/>
            <v:imagedata r:id="rId189" o:title=""/>
            <o:lock v:ext="edit" aspectratio="t"/>
            <w10:wrap type="none"/>
            <w10:anchorlock/>
          </v:shape>
          <o:OLEObject Type="Embed" ProgID="Equation.3" ShapeID="_x0000_i1097" DrawAspect="Content" ObjectID="_1468075797" r:id="rId188">
            <o:LockedField>false</o:LockedField>
          </o:OLEObject>
        </w:object>
      </w:r>
      <w:r>
        <w:rPr>
          <w:rFonts w:ascii="Times New Roman" w:hAnsi="Times New Roman" w:cs="Times New Roman"/>
          <w:color w:val="auto"/>
          <w:highlight w:val="none"/>
        </w:rPr>
        <w:t>从初始读数时算起；</w:t>
      </w:r>
    </w:p>
    <w:p w14:paraId="036F5144">
      <w:pPr>
        <w:keepNext w:val="0"/>
        <w:keepLines w:val="0"/>
        <w:pageBreakBefore w:val="0"/>
        <w:widowControl w:val="0"/>
        <w:kinsoku/>
        <w:wordWrap/>
        <w:overflowPunct/>
        <w:topLinePunct w:val="0"/>
        <w:autoSpaceDE/>
        <w:autoSpaceDN/>
        <w:bidi w:val="0"/>
        <w:adjustRightInd w:val="0"/>
        <w:snapToGrid/>
        <w:spacing w:line="360" w:lineRule="auto"/>
        <w:ind w:firstLine="630" w:firstLineChars="300"/>
        <w:textAlignment w:val="auto"/>
        <w:rPr>
          <w:rFonts w:ascii="Times New Roman" w:hAnsi="Times New Roman" w:cs="Times New Roman"/>
          <w:color w:val="auto"/>
          <w:highlight w:val="none"/>
        </w:rPr>
      </w:pPr>
      <w:bookmarkStart w:id="111" w:name="_Toc146727225"/>
      <w:bookmarkStart w:id="112" w:name="_Toc146546869"/>
      <w:bookmarkStart w:id="113" w:name="_Toc197919638"/>
      <w:r>
        <w:rPr>
          <w:rFonts w:ascii="Times New Roman" w:hAnsi="Times New Roman" w:cs="Times New Roman"/>
          <w:i/>
          <w:color w:val="auto"/>
          <w:position w:val="-10"/>
          <w:highlight w:val="none"/>
        </w:rPr>
        <w:object>
          <v:shape id="_x0000_i1098" o:spt="75" type="#_x0000_t75" style="height:15pt;width:16pt;" o:ole="t" filled="f" o:preferrelative="t" stroked="f" coordsize="21600,21600">
            <v:path/>
            <v:fill on="f" alignshape="1" focussize="0,0"/>
            <v:stroke on="f"/>
            <v:imagedata r:id="rId191" o:title=""/>
            <o:lock v:ext="edit" aspectratio="t"/>
            <w10:wrap type="none"/>
            <w10:anchorlock/>
          </v:shape>
          <o:OLEObject Type="Embed" ProgID="Equation.3" ShapeID="_x0000_i1098" DrawAspect="Content" ObjectID="_1468075798" r:id="rId190">
            <o:LockedField>false</o:LockedField>
          </o:OLEObject>
        </w:object>
      </w:r>
      <w:r>
        <w:rPr>
          <w:rFonts w:ascii="Times New Roman" w:hAnsi="Times New Roman" w:cs="Times New Roman"/>
          <w:color w:val="auto"/>
          <w:highlight w:val="none"/>
        </w:rPr>
        <w:t>——左侧非接触法位移传感器初始读数（mm）；</w:t>
      </w:r>
      <w:bookmarkEnd w:id="111"/>
      <w:bookmarkEnd w:id="112"/>
      <w:bookmarkEnd w:id="113"/>
    </w:p>
    <w:p w14:paraId="30D9414D">
      <w:pPr>
        <w:keepNext w:val="0"/>
        <w:keepLines w:val="0"/>
        <w:pageBreakBefore w:val="0"/>
        <w:widowControl w:val="0"/>
        <w:kinsoku/>
        <w:wordWrap/>
        <w:overflowPunct/>
        <w:topLinePunct w:val="0"/>
        <w:autoSpaceDE/>
        <w:autoSpaceDN/>
        <w:bidi w:val="0"/>
        <w:adjustRightInd w:val="0"/>
        <w:snapToGrid/>
        <w:spacing w:line="360" w:lineRule="auto"/>
        <w:ind w:firstLine="630" w:firstLineChars="300"/>
        <w:textAlignment w:val="auto"/>
        <w:rPr>
          <w:rFonts w:ascii="Times New Roman" w:hAnsi="Times New Roman" w:cs="Times New Roman"/>
          <w:color w:val="auto"/>
          <w:highlight w:val="none"/>
        </w:rPr>
      </w:pPr>
      <w:r>
        <w:rPr>
          <w:rFonts w:ascii="Times New Roman" w:hAnsi="Times New Roman" w:cs="Times New Roman"/>
          <w:i/>
          <w:color w:val="auto"/>
          <w:position w:val="-10"/>
          <w:highlight w:val="none"/>
        </w:rPr>
        <w:object>
          <v:shape id="_x0000_i1099" o:spt="75" type="#_x0000_t75" style="height:15pt;width:13.95pt;" o:ole="t" filled="f" o:preferrelative="t" stroked="f" coordsize="21600,21600">
            <v:path/>
            <v:fill on="f" alignshape="1" focussize="0,0"/>
            <v:stroke on="f"/>
            <v:imagedata r:id="rId193" o:title=""/>
            <o:lock v:ext="edit" aspectratio="t"/>
            <w10:wrap type="none"/>
            <w10:anchorlock/>
          </v:shape>
          <o:OLEObject Type="Embed" ProgID="Equation.3" ShapeID="_x0000_i1099" DrawAspect="Content" ObjectID="_1468075799" r:id="rId192">
            <o:LockedField>false</o:LockedField>
          </o:OLEObject>
        </w:object>
      </w:r>
      <w:r>
        <w:rPr>
          <w:rFonts w:ascii="Times New Roman" w:hAnsi="Times New Roman" w:cs="Times New Roman"/>
          <w:color w:val="auto"/>
          <w:highlight w:val="none"/>
        </w:rPr>
        <w:t>——左侧非接触法位移传感器测试期为</w:t>
      </w:r>
      <w:r>
        <w:rPr>
          <w:rFonts w:hint="default" w:ascii="Times New Roman" w:hAnsi="Times New Roman" w:cs="Times New Roman"/>
          <w:color w:val="auto"/>
          <w:highlight w:val="none"/>
          <w:lang w:val="en-US" w:eastAsia="zh-CN"/>
        </w:rPr>
        <w:t>t</w:t>
      </w:r>
      <w:r>
        <w:rPr>
          <w:rFonts w:ascii="Times New Roman" w:hAnsi="Times New Roman" w:cs="Times New Roman"/>
          <w:color w:val="auto"/>
          <w:highlight w:val="none"/>
        </w:rPr>
        <w:t>（h）的读数（mm）；</w:t>
      </w:r>
    </w:p>
    <w:p w14:paraId="0BF299EE">
      <w:pPr>
        <w:keepNext w:val="0"/>
        <w:keepLines w:val="0"/>
        <w:pageBreakBefore w:val="0"/>
        <w:widowControl w:val="0"/>
        <w:kinsoku/>
        <w:wordWrap/>
        <w:overflowPunct/>
        <w:topLinePunct w:val="0"/>
        <w:autoSpaceDE/>
        <w:autoSpaceDN/>
        <w:bidi w:val="0"/>
        <w:adjustRightInd w:val="0"/>
        <w:snapToGrid/>
        <w:spacing w:line="360" w:lineRule="auto"/>
        <w:ind w:firstLine="644" w:firstLineChars="307"/>
        <w:textAlignment w:val="auto"/>
        <w:rPr>
          <w:rFonts w:ascii="Times New Roman" w:hAnsi="Times New Roman" w:cs="Times New Roman"/>
          <w:color w:val="auto"/>
          <w:highlight w:val="none"/>
        </w:rPr>
      </w:pPr>
      <w:bookmarkStart w:id="114" w:name="_Toc146546870"/>
      <w:bookmarkStart w:id="115" w:name="_Toc146727226"/>
      <w:bookmarkStart w:id="116" w:name="_Toc197919639"/>
      <w:r>
        <w:rPr>
          <w:rFonts w:ascii="Times New Roman" w:hAnsi="Times New Roman" w:cs="Times New Roman"/>
          <w:color w:val="auto"/>
          <w:position w:val="-10"/>
          <w:highlight w:val="none"/>
        </w:rPr>
        <w:object>
          <v:shape id="_x0000_i1100" o:spt="75" type="#_x0000_t75" style="height:15pt;width:17pt;" o:ole="t" filled="f" o:preferrelative="t" stroked="f" coordsize="21600,21600">
            <v:path/>
            <v:fill on="f" alignshape="1" focussize="0,0"/>
            <v:stroke on="f"/>
            <v:imagedata r:id="rId195" o:title=""/>
            <o:lock v:ext="edit" aspectratio="t"/>
            <w10:wrap type="none"/>
            <w10:anchorlock/>
          </v:shape>
          <o:OLEObject Type="Embed" ProgID="Equation.3" ShapeID="_x0000_i1100" DrawAspect="Content" ObjectID="_1468075800" r:id="rId194">
            <o:LockedField>false</o:LockedField>
          </o:OLEObject>
        </w:object>
      </w:r>
      <w:r>
        <w:rPr>
          <w:rFonts w:ascii="Times New Roman" w:hAnsi="Times New Roman" w:cs="Times New Roman"/>
          <w:color w:val="auto"/>
          <w:highlight w:val="none"/>
        </w:rPr>
        <w:t>——右侧非接触法位移传感器初始读数（mm）；</w:t>
      </w:r>
      <w:bookmarkEnd w:id="114"/>
      <w:bookmarkEnd w:id="115"/>
      <w:bookmarkEnd w:id="116"/>
    </w:p>
    <w:p w14:paraId="3DC7387A">
      <w:pPr>
        <w:keepNext w:val="0"/>
        <w:keepLines w:val="0"/>
        <w:pageBreakBefore w:val="0"/>
        <w:widowControl w:val="0"/>
        <w:kinsoku/>
        <w:wordWrap/>
        <w:overflowPunct/>
        <w:topLinePunct w:val="0"/>
        <w:autoSpaceDE/>
        <w:autoSpaceDN/>
        <w:bidi w:val="0"/>
        <w:adjustRightInd w:val="0"/>
        <w:snapToGrid/>
        <w:spacing w:line="360" w:lineRule="auto"/>
        <w:ind w:firstLine="644" w:firstLineChars="307"/>
        <w:textAlignment w:val="auto"/>
        <w:rPr>
          <w:rFonts w:ascii="Times New Roman" w:hAnsi="Times New Roman" w:cs="Times New Roman"/>
          <w:color w:val="auto"/>
          <w:highlight w:val="none"/>
        </w:rPr>
      </w:pPr>
      <w:r>
        <w:rPr>
          <w:rFonts w:ascii="Times New Roman" w:hAnsi="Times New Roman" w:cs="Times New Roman"/>
          <w:color w:val="auto"/>
          <w:position w:val="-10"/>
          <w:highlight w:val="none"/>
        </w:rPr>
        <w:object>
          <v:shape id="_x0000_i1101" o:spt="75" type="#_x0000_t75" style="height:15pt;width:15pt;" o:ole="t" filled="f" o:preferrelative="t" stroked="f" coordsize="21600,21600">
            <v:path/>
            <v:fill on="f" alignshape="1" focussize="0,0"/>
            <v:stroke on="f"/>
            <v:imagedata r:id="rId197" o:title=""/>
            <o:lock v:ext="edit" aspectratio="t"/>
            <w10:wrap type="none"/>
            <w10:anchorlock/>
          </v:shape>
          <o:OLEObject Type="Embed" ProgID="Equation.3" ShapeID="_x0000_i1101" DrawAspect="Content" ObjectID="_1468075801" r:id="rId196">
            <o:LockedField>false</o:LockedField>
          </o:OLEObject>
        </w:object>
      </w:r>
      <w:r>
        <w:rPr>
          <w:rFonts w:ascii="Times New Roman" w:hAnsi="Times New Roman" w:cs="Times New Roman"/>
          <w:color w:val="auto"/>
          <w:highlight w:val="none"/>
        </w:rPr>
        <w:t>——右侧非接触法位移传感器测试期为</w:t>
      </w:r>
      <w:r>
        <w:rPr>
          <w:rFonts w:hint="default" w:ascii="Times New Roman" w:hAnsi="Times New Roman" w:cs="Times New Roman"/>
          <w:color w:val="auto"/>
          <w:highlight w:val="none"/>
          <w:lang w:val="en-US" w:eastAsia="zh-CN"/>
        </w:rPr>
        <w:t>t</w:t>
      </w:r>
      <w:r>
        <w:rPr>
          <w:rFonts w:ascii="Times New Roman" w:hAnsi="Times New Roman" w:cs="Times New Roman"/>
          <w:color w:val="auto"/>
          <w:highlight w:val="none"/>
        </w:rPr>
        <w:t>（h）的读数（mm）；</w:t>
      </w:r>
    </w:p>
    <w:p w14:paraId="53A458C4">
      <w:pPr>
        <w:keepNext w:val="0"/>
        <w:keepLines w:val="0"/>
        <w:pageBreakBefore w:val="0"/>
        <w:widowControl w:val="0"/>
        <w:kinsoku/>
        <w:wordWrap/>
        <w:overflowPunct/>
        <w:topLinePunct w:val="0"/>
        <w:autoSpaceDE/>
        <w:autoSpaceDN/>
        <w:bidi w:val="0"/>
        <w:adjustRightInd w:val="0"/>
        <w:snapToGrid/>
        <w:spacing w:line="360" w:lineRule="auto"/>
        <w:ind w:left="1258" w:leftChars="308" w:hanging="611" w:hangingChars="291"/>
        <w:textAlignment w:val="auto"/>
        <w:rPr>
          <w:rFonts w:ascii="Times New Roman" w:hAnsi="Times New Roman" w:cs="Times New Roman"/>
          <w:color w:val="auto"/>
          <w:highlight w:val="none"/>
        </w:rPr>
      </w:pPr>
      <w:r>
        <w:rPr>
          <w:rFonts w:ascii="Times New Roman" w:hAnsi="Times New Roman" w:cs="Times New Roman"/>
          <w:i/>
          <w:color w:val="auto"/>
          <w:position w:val="-10"/>
          <w:highlight w:val="none"/>
        </w:rPr>
        <w:object>
          <v:shape id="_x0000_i1102" o:spt="75" type="#_x0000_t75" style="height:15pt;width:10.85pt;" o:ole="t" filled="f" o:preferrelative="t" stroked="f" coordsize="21600,21600">
            <v:path/>
            <v:fill on="f" focussize="0,0"/>
            <v:stroke on="f"/>
            <v:imagedata r:id="rId199" o:title=""/>
            <o:lock v:ext="edit" aspectratio="t"/>
            <w10:wrap type="none"/>
            <w10:anchorlock/>
          </v:shape>
          <o:OLEObject Type="Embed" ProgID="Equation.3" ShapeID="_x0000_i1102" DrawAspect="Content" ObjectID="_1468075802" r:id="rId198">
            <o:LockedField>false</o:LockedField>
          </o:OLEObject>
        </w:object>
      </w:r>
      <w:r>
        <w:rPr>
          <w:rFonts w:ascii="Times New Roman" w:hAnsi="Times New Roman" w:cs="Times New Roman"/>
          <w:color w:val="auto"/>
          <w:highlight w:val="none"/>
        </w:rPr>
        <w:t>——试件测量标距(mm)，等于试件长度减去试件中两个反射靶沿试件长度方向埋入试件中的长度之和。</w:t>
      </w:r>
    </w:p>
    <w:p w14:paraId="5879BA3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val="0"/>
          <w:color w:val="auto"/>
          <w:szCs w:val="21"/>
          <w:highlight w:val="none"/>
          <w:lang w:val="en-US" w:eastAsia="zh-CN"/>
        </w:rPr>
      </w:pPr>
      <w:r>
        <w:rPr>
          <w:rFonts w:hint="default" w:ascii="Times New Roman" w:hAnsi="Times New Roman" w:cs="Times New Roman"/>
          <w:bCs w:val="0"/>
          <w:color w:val="auto"/>
          <w:szCs w:val="21"/>
          <w:highlight w:val="none"/>
          <w:lang w:val="en-US" w:eastAsia="zh-CN"/>
        </w:rPr>
        <w:t>2  每组应取3个试件测试结果的算术平均值作为该组超高性能混凝土试件的早龄期收缩测定值，计算应精确至1.0×10</w:t>
      </w:r>
      <w:r>
        <w:rPr>
          <w:rFonts w:hint="default" w:ascii="Times New Roman" w:hAnsi="Times New Roman" w:cs="Times New Roman"/>
          <w:bCs w:val="0"/>
          <w:color w:val="auto"/>
          <w:szCs w:val="21"/>
          <w:highlight w:val="none"/>
          <w:vertAlign w:val="superscript"/>
          <w:lang w:val="en-US" w:eastAsia="zh-CN"/>
        </w:rPr>
        <w:t>-6</w:t>
      </w:r>
      <w:r>
        <w:rPr>
          <w:rFonts w:hint="default" w:ascii="Times New Roman" w:hAnsi="Times New Roman" w:cs="Times New Roman"/>
          <w:bCs w:val="0"/>
          <w:color w:val="auto"/>
          <w:szCs w:val="21"/>
          <w:highlight w:val="none"/>
          <w:lang w:val="en-US" w:eastAsia="zh-CN"/>
        </w:rPr>
        <w:t>。当最大值或最小值与中间值之差超过中间值的15%时，应剔除此值，再取其余两值的平均值作为测定值；当最大值和最小值均超过中间值的15%时，应取中间值作为测定值。作为对照的超高性能混凝土早龄期收缩值应以3d龄期收缩值为准。</w:t>
      </w:r>
    </w:p>
    <w:p w14:paraId="5C7D70DA">
      <w:pPr>
        <w:kinsoku/>
        <w:overflowPunct/>
        <w:topLinePunct/>
        <w:bidi w:val="0"/>
        <w:adjustRightInd w:val="0"/>
        <w:spacing w:line="360" w:lineRule="auto"/>
        <w:ind w:firstLine="598"/>
        <w:jc w:val="center"/>
        <w:rPr>
          <w:rFonts w:ascii="Times New Roman" w:hAnsi="Times New Roman" w:cs="Times New Roman"/>
          <w:bCs/>
          <w:color w:val="auto"/>
          <w:sz w:val="18"/>
          <w:szCs w:val="18"/>
          <w:highlight w:val="none"/>
        </w:rPr>
      </w:pPr>
    </w:p>
    <w:p w14:paraId="57D24C0F">
      <w:pPr>
        <w:tabs>
          <w:tab w:val="left" w:pos="576"/>
        </w:tabs>
        <w:kinsoku/>
        <w:overflowPunct/>
        <w:bidi w:val="0"/>
        <w:spacing w:before="0" w:after="0" w:line="360" w:lineRule="auto"/>
        <w:rPr>
          <w:rFonts w:hint="default" w:ascii="Times New Roman" w:hAnsi="Times New Roman" w:eastAsia="黑体" w:cs="Times New Roman"/>
          <w:b w:val="0"/>
          <w:bCs w:val="0"/>
          <w:color w:val="auto"/>
          <w:kern w:val="2"/>
          <w:sz w:val="21"/>
          <w:szCs w:val="21"/>
          <w:highlight w:val="none"/>
          <w:lang w:val="en-US" w:eastAsia="zh-CN" w:bidi="ar-SA"/>
        </w:rPr>
      </w:pPr>
      <w:bookmarkStart w:id="117" w:name="_Toc15290453"/>
      <w:r>
        <w:rPr>
          <w:rFonts w:hint="default" w:ascii="Times New Roman" w:hAnsi="Times New Roman" w:eastAsia="黑体" w:cs="Times New Roman"/>
          <w:b w:val="0"/>
          <w:bCs w:val="0"/>
          <w:color w:val="auto"/>
          <w:kern w:val="2"/>
          <w:sz w:val="21"/>
          <w:szCs w:val="21"/>
          <w:highlight w:val="none"/>
          <w:lang w:val="en-US" w:eastAsia="zh-CN" w:bidi="ar-SA"/>
        </w:rPr>
        <w:br w:type="page"/>
      </w:r>
    </w:p>
    <w:p w14:paraId="52FE6F48">
      <w:pPr>
        <w:pStyle w:val="3"/>
        <w:tabs>
          <w:tab w:val="left" w:pos="576"/>
        </w:tabs>
        <w:kinsoku/>
        <w:overflowPunct/>
        <w:bidi w:val="0"/>
        <w:spacing w:before="0" w:after="0" w:line="360" w:lineRule="auto"/>
        <w:rPr>
          <w:rFonts w:hint="default" w:ascii="Times New Roman" w:hAnsi="Times New Roman" w:eastAsia="黑体" w:cs="Times New Roman"/>
          <w:b w:val="0"/>
          <w:bCs w:val="0"/>
          <w:color w:val="auto"/>
          <w:sz w:val="21"/>
          <w:szCs w:val="21"/>
          <w:highlight w:val="none"/>
          <w:lang w:val="en-US" w:eastAsia="zh-CN" w:bidi="ar-SA"/>
        </w:rPr>
      </w:pPr>
      <w:bookmarkStart w:id="118" w:name="_Toc3847"/>
      <w:r>
        <w:rPr>
          <w:rFonts w:hint="default" w:ascii="Times New Roman" w:hAnsi="Times New Roman" w:eastAsia="黑体" w:cs="Times New Roman"/>
          <w:b w:val="0"/>
          <w:bCs w:val="0"/>
          <w:color w:val="auto"/>
          <w:kern w:val="2"/>
          <w:sz w:val="21"/>
          <w:szCs w:val="21"/>
          <w:highlight w:val="none"/>
          <w:lang w:val="en-US" w:eastAsia="zh-CN" w:bidi="ar-SA"/>
        </w:rPr>
        <w:t>7.2  波纹管法</w:t>
      </w:r>
      <w:bookmarkEnd w:id="117"/>
      <w:r>
        <w:rPr>
          <w:rFonts w:hint="default" w:ascii="Times New Roman" w:hAnsi="Times New Roman" w:eastAsia="黑体" w:cs="Times New Roman"/>
          <w:b w:val="0"/>
          <w:bCs w:val="0"/>
          <w:i w:val="0"/>
          <w:iCs w:val="0"/>
          <w:color w:val="auto"/>
          <w:sz w:val="21"/>
          <w:szCs w:val="21"/>
          <w:highlight w:val="none"/>
          <w:lang w:val="en-US" w:eastAsia="zh-CN" w:bidi="ar-SA"/>
        </w:rPr>
        <w:t>早期自收缩试验</w:t>
      </w:r>
      <w:bookmarkEnd w:id="118"/>
    </w:p>
    <w:p w14:paraId="351FE2EB">
      <w:pPr>
        <w:widowControl/>
        <w:kinsoku/>
        <w:overflowPunct/>
        <w:topLinePunct/>
        <w:bidi w:val="0"/>
        <w:adjustRightInd w:val="0"/>
        <w:snapToGrid w:val="0"/>
        <w:spacing w:line="360" w:lineRule="auto"/>
        <w:rPr>
          <w:rFonts w:hint="default" w:ascii="Times New Roman" w:hAnsi="Times New Roman" w:eastAsia="宋体" w:cs="Times New Roman"/>
          <w:color w:val="auto"/>
          <w:kern w:val="0"/>
          <w:highlight w:val="none"/>
          <w:lang w:val="en-US" w:eastAsia="zh-CN"/>
        </w:rPr>
      </w:pPr>
      <w:r>
        <w:rPr>
          <w:rFonts w:hint="default" w:ascii="Times New Roman" w:hAnsi="Times New Roman" w:eastAsia="黑体" w:cs="Times New Roman"/>
          <w:bCs/>
          <w:color w:val="auto"/>
          <w:szCs w:val="21"/>
          <w:highlight w:val="none"/>
          <w:lang w:eastAsia="zh-CN"/>
        </w:rPr>
        <w:t>7</w:t>
      </w:r>
      <w:r>
        <w:rPr>
          <w:rFonts w:ascii="Times New Roman" w:hAnsi="Times New Roman" w:eastAsia="黑体" w:cs="Times New Roman"/>
          <w:bCs/>
          <w:color w:val="auto"/>
          <w:szCs w:val="21"/>
          <w:highlight w:val="none"/>
        </w:rPr>
        <w:t>.</w:t>
      </w:r>
      <w:r>
        <w:rPr>
          <w:rFonts w:hint="default" w:ascii="Times New Roman" w:hAnsi="Times New Roman" w:eastAsia="黑体" w:cs="Times New Roman"/>
          <w:bCs/>
          <w:color w:val="auto"/>
          <w:szCs w:val="21"/>
          <w:highlight w:val="none"/>
          <w:lang w:eastAsia="zh-CN"/>
        </w:rPr>
        <w:t>2</w:t>
      </w:r>
      <w:r>
        <w:rPr>
          <w:rFonts w:ascii="Times New Roman" w:hAnsi="Times New Roman" w:eastAsia="黑体" w:cs="Times New Roman"/>
          <w:bCs/>
          <w:color w:val="auto"/>
          <w:szCs w:val="21"/>
          <w:highlight w:val="none"/>
        </w:rPr>
        <w:t>.1</w:t>
      </w:r>
      <w:r>
        <w:rPr>
          <w:rFonts w:ascii="Times New Roman" w:hAnsi="Times New Roman" w:cs="Times New Roman"/>
          <w:color w:val="auto"/>
          <w:kern w:val="0"/>
          <w:highlight w:val="none"/>
        </w:rPr>
        <w:t xml:space="preserve">  本方法适用于测定</w:t>
      </w:r>
      <w:r>
        <w:rPr>
          <w:rFonts w:hint="default" w:ascii="Times New Roman" w:hAnsi="Times New Roman" w:cs="Times New Roman"/>
          <w:color w:val="auto"/>
          <w:kern w:val="0"/>
          <w:highlight w:val="none"/>
        </w:rPr>
        <w:t>无约束且与外界无介质交换条件下的</w:t>
      </w:r>
      <w:r>
        <w:rPr>
          <w:rFonts w:hint="default" w:ascii="Times New Roman" w:hAnsi="Times New Roman" w:cs="Times New Roman"/>
          <w:color w:val="auto"/>
          <w:kern w:val="0"/>
          <w:highlight w:val="none"/>
          <w:lang w:eastAsia="zh-CN"/>
        </w:rPr>
        <w:t>超高性能混凝土</w:t>
      </w:r>
      <w:r>
        <w:rPr>
          <w:rFonts w:ascii="Times New Roman" w:hAnsi="Times New Roman" w:cs="Times New Roman"/>
          <w:color w:val="auto"/>
          <w:kern w:val="0"/>
          <w:highlight w:val="none"/>
        </w:rPr>
        <w:t>早期自收缩性能。</w:t>
      </w:r>
    </w:p>
    <w:p w14:paraId="44CDE1D9">
      <w:pPr>
        <w:widowControl/>
        <w:kinsoku/>
        <w:overflowPunct/>
        <w:topLinePunct/>
        <w:bidi w:val="0"/>
        <w:adjustRightInd w:val="0"/>
        <w:snapToGrid w:val="0"/>
        <w:spacing w:line="360" w:lineRule="auto"/>
        <w:rPr>
          <w:rFonts w:ascii="Times New Roman" w:hAnsi="Times New Roman" w:cs="Times New Roman"/>
          <w:color w:val="auto"/>
          <w:kern w:val="0"/>
          <w:highlight w:val="none"/>
        </w:rPr>
      </w:pPr>
      <w:r>
        <w:rPr>
          <w:rFonts w:hint="default" w:ascii="Times New Roman" w:hAnsi="Times New Roman" w:eastAsia="黑体" w:cs="Times New Roman"/>
          <w:bCs/>
          <w:color w:val="auto"/>
          <w:szCs w:val="21"/>
          <w:highlight w:val="none"/>
          <w:lang w:eastAsia="zh-CN"/>
        </w:rPr>
        <w:t>7</w:t>
      </w:r>
      <w:r>
        <w:rPr>
          <w:rFonts w:ascii="Times New Roman" w:hAnsi="Times New Roman" w:eastAsia="黑体" w:cs="Times New Roman"/>
          <w:bCs/>
          <w:color w:val="auto"/>
          <w:szCs w:val="21"/>
          <w:highlight w:val="none"/>
        </w:rPr>
        <w:t>.</w:t>
      </w:r>
      <w:r>
        <w:rPr>
          <w:rFonts w:hint="default" w:ascii="Times New Roman" w:hAnsi="Times New Roman" w:eastAsia="黑体" w:cs="Times New Roman"/>
          <w:bCs/>
          <w:color w:val="auto"/>
          <w:szCs w:val="21"/>
          <w:highlight w:val="none"/>
          <w:lang w:eastAsia="zh-CN"/>
        </w:rPr>
        <w:t>2</w:t>
      </w:r>
      <w:r>
        <w:rPr>
          <w:rFonts w:ascii="Times New Roman" w:hAnsi="Times New Roman" w:eastAsia="黑体" w:cs="Times New Roman"/>
          <w:bCs/>
          <w:color w:val="auto"/>
          <w:szCs w:val="21"/>
          <w:highlight w:val="none"/>
        </w:rPr>
        <w:t>.2</w:t>
      </w:r>
      <w:r>
        <w:rPr>
          <w:rFonts w:ascii="Times New Roman" w:hAnsi="Times New Roman" w:cs="Times New Roman"/>
          <w:color w:val="auto"/>
          <w:kern w:val="0"/>
          <w:highlight w:val="none"/>
        </w:rPr>
        <w:t xml:space="preserve">  试验设备应符合下列规定：</w:t>
      </w:r>
    </w:p>
    <w:p w14:paraId="6A790842">
      <w:pPr>
        <w:widowControl/>
        <w:kinsoku/>
        <w:overflowPunct/>
        <w:topLinePunct/>
        <w:bidi w:val="0"/>
        <w:adjustRightInd w:val="0"/>
        <w:snapToGrid w:val="0"/>
        <w:spacing w:line="360" w:lineRule="auto"/>
        <w:ind w:firstLine="435"/>
        <w:rPr>
          <w:rFonts w:hint="default" w:ascii="Times New Roman" w:hAnsi="Times New Roman" w:cs="Times New Roman"/>
          <w:color w:val="auto"/>
          <w:kern w:val="0"/>
          <w:highlight w:val="none"/>
        </w:rPr>
      </w:pPr>
      <w:r>
        <w:rPr>
          <w:rFonts w:ascii="Times New Roman" w:hAnsi="Times New Roman" w:eastAsia="黑体" w:cs="Times New Roman"/>
          <w:bCs/>
          <w:color w:val="auto"/>
          <w:szCs w:val="21"/>
          <w:highlight w:val="none"/>
        </w:rPr>
        <w:t>1</w:t>
      </w:r>
      <w:r>
        <w:rPr>
          <w:rFonts w:ascii="Times New Roman" w:hAnsi="Times New Roman" w:cs="Times New Roman"/>
          <w:color w:val="auto"/>
          <w:kern w:val="0"/>
          <w:highlight w:val="none"/>
        </w:rPr>
        <w:t xml:space="preserve">  波纹管应采用低密度聚乙烯波纹管，波纹管长度应为（4</w:t>
      </w:r>
      <w:r>
        <w:rPr>
          <w:rFonts w:hint="default" w:ascii="Times New Roman" w:hAnsi="Times New Roman" w:cs="Times New Roman"/>
          <w:color w:val="auto"/>
          <w:kern w:val="0"/>
          <w:highlight w:val="none"/>
        </w:rPr>
        <w:t>2</w:t>
      </w:r>
      <w:r>
        <w:rPr>
          <w:rFonts w:ascii="Times New Roman" w:hAnsi="Times New Roman" w:cs="Times New Roman"/>
          <w:color w:val="auto"/>
          <w:kern w:val="0"/>
          <w:highlight w:val="none"/>
        </w:rPr>
        <w:t>0±</w:t>
      </w:r>
      <w:r>
        <w:rPr>
          <w:rFonts w:hint="default" w:ascii="Times New Roman" w:hAnsi="Times New Roman" w:cs="Times New Roman"/>
          <w:color w:val="auto"/>
          <w:kern w:val="0"/>
          <w:highlight w:val="none"/>
        </w:rPr>
        <w:t>2</w:t>
      </w:r>
      <w:r>
        <w:rPr>
          <w:rFonts w:ascii="Times New Roman" w:hAnsi="Times New Roman" w:cs="Times New Roman"/>
          <w:color w:val="auto"/>
          <w:kern w:val="0"/>
          <w:highlight w:val="none"/>
        </w:rPr>
        <w:t>）mm，外径应为（80±</w:t>
      </w:r>
      <w:r>
        <w:rPr>
          <w:rFonts w:hint="default" w:ascii="Times New Roman" w:hAnsi="Times New Roman" w:cs="Times New Roman"/>
          <w:color w:val="auto"/>
          <w:kern w:val="0"/>
          <w:highlight w:val="none"/>
        </w:rPr>
        <w:t>1</w:t>
      </w:r>
      <w:r>
        <w:rPr>
          <w:rFonts w:ascii="Times New Roman" w:hAnsi="Times New Roman" w:cs="Times New Roman"/>
          <w:color w:val="auto"/>
          <w:kern w:val="0"/>
          <w:highlight w:val="none"/>
        </w:rPr>
        <w:t>）mm</w:t>
      </w:r>
      <w:r>
        <w:rPr>
          <w:rFonts w:hint="default" w:ascii="Times New Roman" w:hAnsi="Times New Roman" w:cs="Times New Roman"/>
          <w:color w:val="auto"/>
          <w:kern w:val="0"/>
          <w:highlight w:val="none"/>
        </w:rPr>
        <w:t>，内</w:t>
      </w:r>
      <w:r>
        <w:rPr>
          <w:rFonts w:ascii="Times New Roman" w:hAnsi="Times New Roman" w:cs="Times New Roman"/>
          <w:color w:val="auto"/>
          <w:kern w:val="0"/>
          <w:highlight w:val="none"/>
        </w:rPr>
        <w:t>径应为（</w:t>
      </w:r>
      <w:r>
        <w:rPr>
          <w:rFonts w:hint="default" w:ascii="Times New Roman" w:hAnsi="Times New Roman" w:cs="Times New Roman"/>
          <w:color w:val="auto"/>
          <w:kern w:val="0"/>
          <w:highlight w:val="none"/>
        </w:rPr>
        <w:t>6</w:t>
      </w:r>
      <w:r>
        <w:rPr>
          <w:rFonts w:ascii="Times New Roman" w:hAnsi="Times New Roman" w:cs="Times New Roman"/>
          <w:color w:val="auto"/>
          <w:kern w:val="0"/>
          <w:highlight w:val="none"/>
        </w:rPr>
        <w:t>0±</w:t>
      </w:r>
      <w:r>
        <w:rPr>
          <w:rFonts w:hint="default" w:ascii="Times New Roman" w:hAnsi="Times New Roman" w:cs="Times New Roman"/>
          <w:color w:val="auto"/>
          <w:kern w:val="0"/>
          <w:highlight w:val="none"/>
        </w:rPr>
        <w:t>1</w:t>
      </w:r>
      <w:r>
        <w:rPr>
          <w:rFonts w:ascii="Times New Roman" w:hAnsi="Times New Roman" w:cs="Times New Roman"/>
          <w:color w:val="auto"/>
          <w:kern w:val="0"/>
          <w:highlight w:val="none"/>
        </w:rPr>
        <w:t>）mm，管壁厚度应为（0.5±0.</w:t>
      </w:r>
      <w:r>
        <w:rPr>
          <w:rFonts w:hint="default" w:ascii="Times New Roman" w:hAnsi="Times New Roman" w:cs="Times New Roman"/>
          <w:color w:val="auto"/>
          <w:kern w:val="0"/>
          <w:highlight w:val="none"/>
        </w:rPr>
        <w:t>05</w:t>
      </w:r>
      <w:r>
        <w:rPr>
          <w:rFonts w:ascii="Times New Roman" w:hAnsi="Times New Roman" w:cs="Times New Roman"/>
          <w:color w:val="auto"/>
          <w:kern w:val="0"/>
          <w:highlight w:val="none"/>
        </w:rPr>
        <w:t>）mm。波纹管</w:t>
      </w:r>
      <w:r>
        <w:rPr>
          <w:rFonts w:hint="default" w:ascii="Times New Roman" w:hAnsi="Times New Roman" w:cs="Times New Roman"/>
          <w:color w:val="auto"/>
          <w:kern w:val="0"/>
          <w:highlight w:val="none"/>
        </w:rPr>
        <w:t>的波纹端部应为尖角状</w:t>
      </w:r>
      <w:r>
        <w:rPr>
          <w:rFonts w:ascii="Times New Roman" w:hAnsi="Times New Roman" w:cs="Times New Roman"/>
          <w:color w:val="auto"/>
          <w:kern w:val="0"/>
          <w:highlight w:val="none"/>
        </w:rPr>
        <w:t>（图</w:t>
      </w:r>
      <w:r>
        <w:rPr>
          <w:rFonts w:hint="default" w:ascii="Times New Roman" w:hAnsi="Times New Roman" w:cs="Times New Roman"/>
          <w:color w:val="auto"/>
          <w:kern w:val="0"/>
          <w:highlight w:val="none"/>
          <w:lang w:eastAsia="zh-CN"/>
        </w:rPr>
        <w:t>7</w:t>
      </w:r>
      <w:r>
        <w:rPr>
          <w:rFonts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2</w:t>
      </w:r>
      <w:r>
        <w:rPr>
          <w:rFonts w:ascii="Times New Roman" w:hAnsi="Times New Roman" w:cs="Times New Roman"/>
          <w:color w:val="auto"/>
          <w:kern w:val="0"/>
          <w:highlight w:val="none"/>
        </w:rPr>
        <w:t>.2-1）</w:t>
      </w:r>
      <w:r>
        <w:rPr>
          <w:rFonts w:hint="default" w:ascii="Times New Roman" w:hAnsi="Times New Roman" w:cs="Times New Roman"/>
          <w:color w:val="auto"/>
          <w:kern w:val="0"/>
          <w:highlight w:val="none"/>
        </w:rPr>
        <w:t>，并应具有足够的刚度，试验过程中不应被管内</w:t>
      </w:r>
      <w:r>
        <w:rPr>
          <w:rFonts w:hint="default" w:ascii="Times New Roman" w:hAnsi="Times New Roman" w:cs="Times New Roman"/>
          <w:color w:val="auto"/>
          <w:kern w:val="0"/>
          <w:highlight w:val="none"/>
          <w:lang w:eastAsia="zh-CN"/>
        </w:rPr>
        <w:t>超高性能混凝土</w:t>
      </w:r>
      <w:r>
        <w:rPr>
          <w:rFonts w:hint="default" w:ascii="Times New Roman" w:hAnsi="Times New Roman" w:cs="Times New Roman"/>
          <w:color w:val="auto"/>
          <w:kern w:val="0"/>
          <w:highlight w:val="none"/>
        </w:rPr>
        <w:t>自重压变形</w:t>
      </w:r>
      <w:r>
        <w:rPr>
          <w:rFonts w:ascii="Times New Roman" w:hAnsi="Times New Roman" w:cs="Times New Roman"/>
          <w:color w:val="auto"/>
          <w:kern w:val="0"/>
          <w:highlight w:val="none"/>
        </w:rPr>
        <w:t>。</w:t>
      </w:r>
    </w:p>
    <w:p w14:paraId="102263CB">
      <w:pPr>
        <w:widowControl/>
        <w:kinsoku/>
        <w:overflowPunct/>
        <w:bidi w:val="0"/>
        <w:spacing w:line="360" w:lineRule="auto"/>
        <w:jc w:val="center"/>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fldChar w:fldCharType="begin"/>
      </w:r>
      <w:r>
        <w:rPr>
          <w:rFonts w:ascii="Times New Roman" w:hAnsi="Times New Roman" w:cs="Times New Roman"/>
          <w:color w:val="auto"/>
          <w:kern w:val="0"/>
          <w:sz w:val="24"/>
          <w:highlight w:val="none"/>
        </w:rPr>
        <w:instrText xml:space="preserve"> INCLUDEPICTURE "D:\\用户目录\\我的文档\\Tencent Files\\317598548\\Image\\C2C\\Image1\\NM6}`{3XM$5N(1865L11_GI.png" \* MERGEFORMATINET </w:instrText>
      </w:r>
      <w:r>
        <w:rPr>
          <w:rFonts w:ascii="Times New Roman" w:hAnsi="Times New Roman" w:cs="Times New Roman"/>
          <w:color w:val="auto"/>
          <w:kern w:val="0"/>
          <w:sz w:val="24"/>
          <w:highlight w:val="none"/>
        </w:rPr>
        <w:fldChar w:fldCharType="separate"/>
      </w:r>
      <w:r>
        <w:rPr>
          <w:rFonts w:ascii="Times New Roman" w:hAnsi="Times New Roman" w:cs="Times New Roman"/>
          <w:color w:val="auto"/>
          <w:kern w:val="0"/>
          <w:sz w:val="24"/>
          <w:highlight w:val="none"/>
        </w:rPr>
        <w:drawing>
          <wp:inline distT="0" distB="0" distL="114300" distR="114300">
            <wp:extent cx="3055620" cy="908050"/>
            <wp:effectExtent l="0" t="0" r="11430" b="6350"/>
            <wp:docPr id="17" name="图片 39" descr="NM6}`{3XM$5N(1865L11_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9" descr="NM6}`{3XM$5N(1865L11_GI"/>
                    <pic:cNvPicPr>
                      <a:picLocks noChangeAspect="1"/>
                    </pic:cNvPicPr>
                  </pic:nvPicPr>
                  <pic:blipFill>
                    <a:blip r:embed="rId200"/>
                    <a:stretch>
                      <a:fillRect/>
                    </a:stretch>
                  </pic:blipFill>
                  <pic:spPr>
                    <a:xfrm>
                      <a:off x="0" y="0"/>
                      <a:ext cx="3055620" cy="908050"/>
                    </a:xfrm>
                    <a:prstGeom prst="rect">
                      <a:avLst/>
                    </a:prstGeom>
                    <a:noFill/>
                    <a:ln>
                      <a:noFill/>
                    </a:ln>
                  </pic:spPr>
                </pic:pic>
              </a:graphicData>
            </a:graphic>
          </wp:inline>
        </w:drawing>
      </w:r>
      <w:r>
        <w:rPr>
          <w:rFonts w:ascii="Times New Roman" w:hAnsi="Times New Roman" w:cs="Times New Roman"/>
          <w:color w:val="auto"/>
          <w:kern w:val="0"/>
          <w:sz w:val="24"/>
          <w:highlight w:val="none"/>
        </w:rPr>
        <w:fldChar w:fldCharType="end"/>
      </w:r>
    </w:p>
    <w:p w14:paraId="49164DF2">
      <w:pPr>
        <w:widowControl/>
        <w:kinsoku/>
        <w:overflowPunct/>
        <w:topLinePunct/>
        <w:bidi w:val="0"/>
        <w:adjustRightInd w:val="0"/>
        <w:snapToGrid w:val="0"/>
        <w:spacing w:line="360" w:lineRule="auto"/>
        <w:jc w:val="center"/>
        <w:rPr>
          <w:rFonts w:ascii="Times New Roman" w:hAnsi="Times New Roman" w:cs="Times New Roman"/>
          <w:color w:val="auto"/>
          <w:kern w:val="0"/>
          <w:highlight w:val="none"/>
        </w:rPr>
      </w:pPr>
      <w:r>
        <w:rPr>
          <w:rFonts w:ascii="Times New Roman" w:hAnsi="Times New Roman" w:cs="Times New Roman"/>
          <w:color w:val="auto"/>
          <w:kern w:val="0"/>
          <w:sz w:val="18"/>
          <w:szCs w:val="18"/>
          <w:highlight w:val="none"/>
        </w:rPr>
        <w:t>图</w:t>
      </w:r>
      <w:r>
        <w:rPr>
          <w:rFonts w:hint="default" w:ascii="Times New Roman" w:hAnsi="Times New Roman" w:cs="Times New Roman"/>
          <w:color w:val="auto"/>
          <w:kern w:val="0"/>
          <w:sz w:val="18"/>
          <w:szCs w:val="18"/>
          <w:highlight w:val="none"/>
          <w:lang w:eastAsia="zh-CN"/>
        </w:rPr>
        <w:t>7</w:t>
      </w:r>
      <w:r>
        <w:rPr>
          <w:rFonts w:ascii="Times New Roman" w:hAnsi="Times New Roman" w:cs="Times New Roman"/>
          <w:color w:val="auto"/>
          <w:kern w:val="0"/>
          <w:sz w:val="18"/>
          <w:szCs w:val="18"/>
          <w:highlight w:val="none"/>
        </w:rPr>
        <w:t>.</w:t>
      </w:r>
      <w:r>
        <w:rPr>
          <w:rFonts w:hint="default" w:ascii="Times New Roman" w:hAnsi="Times New Roman" w:cs="Times New Roman"/>
          <w:color w:val="auto"/>
          <w:kern w:val="0"/>
          <w:sz w:val="18"/>
          <w:szCs w:val="18"/>
          <w:highlight w:val="none"/>
          <w:lang w:eastAsia="zh-CN"/>
        </w:rPr>
        <w:t>2</w:t>
      </w:r>
      <w:r>
        <w:rPr>
          <w:rFonts w:ascii="Times New Roman" w:hAnsi="Times New Roman" w:cs="Times New Roman"/>
          <w:color w:val="auto"/>
          <w:kern w:val="0"/>
          <w:sz w:val="18"/>
          <w:szCs w:val="18"/>
          <w:highlight w:val="none"/>
        </w:rPr>
        <w:t>.2-1  波纹管</w:t>
      </w:r>
    </w:p>
    <w:p w14:paraId="48A7C0D6">
      <w:pPr>
        <w:widowControl/>
        <w:kinsoku/>
        <w:overflowPunct/>
        <w:topLinePunct/>
        <w:bidi w:val="0"/>
        <w:adjustRightInd w:val="0"/>
        <w:snapToGrid w:val="0"/>
        <w:spacing w:line="360" w:lineRule="auto"/>
        <w:ind w:firstLine="437"/>
        <w:rPr>
          <w:rFonts w:ascii="Times New Roman" w:hAnsi="Times New Roman" w:cs="Times New Roman"/>
          <w:color w:val="auto"/>
          <w:kern w:val="0"/>
          <w:highlight w:val="none"/>
        </w:rPr>
      </w:pPr>
      <w:r>
        <w:rPr>
          <w:rFonts w:ascii="Times New Roman" w:hAnsi="Times New Roman" w:eastAsia="黑体" w:cs="Times New Roman"/>
          <w:bCs/>
          <w:color w:val="auto"/>
          <w:szCs w:val="21"/>
          <w:highlight w:val="none"/>
        </w:rPr>
        <w:t xml:space="preserve">2  </w:t>
      </w:r>
      <w:r>
        <w:rPr>
          <w:rFonts w:ascii="Times New Roman" w:hAnsi="Times New Roman" w:cs="Times New Roman"/>
          <w:color w:val="auto"/>
          <w:kern w:val="0"/>
          <w:highlight w:val="none"/>
        </w:rPr>
        <w:t>密封端塞（图</w:t>
      </w:r>
      <w:r>
        <w:rPr>
          <w:rFonts w:hint="default" w:ascii="Times New Roman" w:hAnsi="Times New Roman" w:cs="Times New Roman"/>
          <w:color w:val="auto"/>
          <w:kern w:val="0"/>
          <w:highlight w:val="none"/>
          <w:lang w:eastAsia="zh-CN"/>
        </w:rPr>
        <w:t>7</w:t>
      </w:r>
      <w:r>
        <w:rPr>
          <w:rFonts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2</w:t>
      </w:r>
      <w:r>
        <w:rPr>
          <w:rFonts w:ascii="Times New Roman" w:hAnsi="Times New Roman" w:cs="Times New Roman"/>
          <w:color w:val="auto"/>
          <w:kern w:val="0"/>
          <w:highlight w:val="none"/>
        </w:rPr>
        <w:t>.2-2）宜采用塑料材质的锥形端塞。</w:t>
      </w:r>
    </w:p>
    <w:p w14:paraId="744F0187">
      <w:pPr>
        <w:widowControl/>
        <w:kinsoku/>
        <w:overflowPunct/>
        <w:bidi w:val="0"/>
        <w:spacing w:line="360" w:lineRule="auto"/>
        <w:jc w:val="center"/>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fldChar w:fldCharType="begin"/>
      </w:r>
      <w:r>
        <w:rPr>
          <w:rFonts w:ascii="Times New Roman" w:hAnsi="Times New Roman" w:cs="Times New Roman"/>
          <w:color w:val="auto"/>
          <w:kern w:val="0"/>
          <w:sz w:val="24"/>
          <w:highlight w:val="none"/>
        </w:rPr>
        <w:instrText xml:space="preserve"> INCLUDEPICTURE "D:\\用户目录\\我的文档\\WeChat Files\\he0055580\\FileStorage\\File\\Documents\\Tencent Files\\317598548\\Image\\C2C\\{])}K]BJ(46QHC8YGO8J_AM.png" \* MERGEFORMAT </w:instrText>
      </w:r>
      <w:r>
        <w:rPr>
          <w:rFonts w:ascii="Times New Roman" w:hAnsi="Times New Roman" w:cs="Times New Roman"/>
          <w:color w:val="auto"/>
          <w:kern w:val="0"/>
          <w:sz w:val="24"/>
          <w:highlight w:val="none"/>
        </w:rPr>
        <w:fldChar w:fldCharType="separate"/>
      </w:r>
      <w:r>
        <w:rPr>
          <w:rFonts w:ascii="Times New Roman" w:hAnsi="Times New Roman" w:cs="Times New Roman"/>
          <w:color w:val="auto"/>
          <w:kern w:val="0"/>
          <w:sz w:val="24"/>
          <w:highlight w:val="none"/>
        </w:rPr>
        <w:drawing>
          <wp:inline distT="0" distB="0" distL="114300" distR="114300">
            <wp:extent cx="1026160" cy="998220"/>
            <wp:effectExtent l="0" t="0" r="2540" b="11430"/>
            <wp:docPr id="13" name="图片 40" descr="{])}K]BJ(46QHC8YGO8J_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0" descr="{])}K]BJ(46QHC8YGO8J_AM"/>
                    <pic:cNvPicPr>
                      <a:picLocks noChangeAspect="1"/>
                    </pic:cNvPicPr>
                  </pic:nvPicPr>
                  <pic:blipFill>
                    <a:blip r:embed="rId201"/>
                    <a:stretch>
                      <a:fillRect/>
                    </a:stretch>
                  </pic:blipFill>
                  <pic:spPr>
                    <a:xfrm>
                      <a:off x="0" y="0"/>
                      <a:ext cx="1026160" cy="998220"/>
                    </a:xfrm>
                    <a:prstGeom prst="rect">
                      <a:avLst/>
                    </a:prstGeom>
                    <a:noFill/>
                    <a:ln>
                      <a:noFill/>
                    </a:ln>
                  </pic:spPr>
                </pic:pic>
              </a:graphicData>
            </a:graphic>
          </wp:inline>
        </w:drawing>
      </w:r>
      <w:r>
        <w:rPr>
          <w:rFonts w:ascii="Times New Roman" w:hAnsi="Times New Roman" w:cs="Times New Roman"/>
          <w:color w:val="auto"/>
          <w:kern w:val="0"/>
          <w:sz w:val="24"/>
          <w:highlight w:val="none"/>
        </w:rPr>
        <w:fldChar w:fldCharType="end"/>
      </w:r>
    </w:p>
    <w:p w14:paraId="395A25B2">
      <w:pPr>
        <w:widowControl/>
        <w:kinsoku/>
        <w:overflowPunct/>
        <w:topLinePunct/>
        <w:bidi w:val="0"/>
        <w:adjustRightInd w:val="0"/>
        <w:snapToGrid w:val="0"/>
        <w:spacing w:line="360" w:lineRule="auto"/>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图</w:t>
      </w:r>
      <w:r>
        <w:rPr>
          <w:rFonts w:hint="default" w:ascii="Times New Roman" w:hAnsi="Times New Roman" w:cs="Times New Roman"/>
          <w:color w:val="auto"/>
          <w:kern w:val="0"/>
          <w:sz w:val="18"/>
          <w:szCs w:val="18"/>
          <w:highlight w:val="none"/>
          <w:lang w:eastAsia="zh-CN"/>
        </w:rPr>
        <w:t>7</w:t>
      </w:r>
      <w:r>
        <w:rPr>
          <w:rFonts w:ascii="Times New Roman" w:hAnsi="Times New Roman" w:cs="Times New Roman"/>
          <w:color w:val="auto"/>
          <w:kern w:val="0"/>
          <w:sz w:val="18"/>
          <w:szCs w:val="18"/>
          <w:highlight w:val="none"/>
        </w:rPr>
        <w:t>.</w:t>
      </w:r>
      <w:r>
        <w:rPr>
          <w:rFonts w:hint="default" w:ascii="Times New Roman" w:hAnsi="Times New Roman" w:cs="Times New Roman"/>
          <w:color w:val="auto"/>
          <w:kern w:val="0"/>
          <w:sz w:val="18"/>
          <w:szCs w:val="18"/>
          <w:highlight w:val="none"/>
          <w:lang w:eastAsia="zh-CN"/>
        </w:rPr>
        <w:t>2</w:t>
      </w:r>
      <w:r>
        <w:rPr>
          <w:rFonts w:ascii="Times New Roman" w:hAnsi="Times New Roman" w:cs="Times New Roman"/>
          <w:color w:val="auto"/>
          <w:kern w:val="0"/>
          <w:sz w:val="18"/>
          <w:szCs w:val="18"/>
          <w:highlight w:val="none"/>
        </w:rPr>
        <w:t>.2-2  波纹管密封端塞</w:t>
      </w:r>
    </w:p>
    <w:p w14:paraId="72AD24BE">
      <w:pPr>
        <w:widowControl/>
        <w:kinsoku/>
        <w:overflowPunct/>
        <w:topLinePunct/>
        <w:bidi w:val="0"/>
        <w:adjustRightInd w:val="0"/>
        <w:snapToGrid w:val="0"/>
        <w:spacing w:line="360" w:lineRule="auto"/>
        <w:ind w:firstLine="437"/>
        <w:rPr>
          <w:rFonts w:ascii="Times New Roman" w:hAnsi="Times New Roman" w:cs="Times New Roman"/>
          <w:color w:val="auto"/>
          <w:kern w:val="0"/>
          <w:highlight w:val="none"/>
        </w:rPr>
      </w:pPr>
      <w:r>
        <w:rPr>
          <w:rFonts w:ascii="Times New Roman" w:hAnsi="Times New Roman" w:eastAsia="黑体" w:cs="Times New Roman"/>
          <w:bCs/>
          <w:color w:val="auto"/>
          <w:szCs w:val="21"/>
          <w:highlight w:val="none"/>
        </w:rPr>
        <w:t>3</w:t>
      </w:r>
      <w:r>
        <w:rPr>
          <w:rFonts w:ascii="Times New Roman" w:hAnsi="Times New Roman" w:cs="Times New Roman"/>
          <w:color w:val="auto"/>
          <w:kern w:val="0"/>
          <w:highlight w:val="none"/>
        </w:rPr>
        <w:t xml:space="preserve">  测试支架（图</w:t>
      </w:r>
      <w:r>
        <w:rPr>
          <w:rFonts w:hint="default" w:ascii="Times New Roman" w:hAnsi="Times New Roman" w:cs="Times New Roman"/>
          <w:color w:val="auto"/>
          <w:kern w:val="0"/>
          <w:highlight w:val="none"/>
          <w:lang w:eastAsia="zh-CN"/>
        </w:rPr>
        <w:t>7</w:t>
      </w:r>
      <w:r>
        <w:rPr>
          <w:rFonts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2</w:t>
      </w:r>
      <w:r>
        <w:rPr>
          <w:rFonts w:ascii="Times New Roman" w:hAnsi="Times New Roman" w:cs="Times New Roman"/>
          <w:color w:val="auto"/>
          <w:kern w:val="0"/>
          <w:highlight w:val="none"/>
        </w:rPr>
        <w:t>.2-3）</w:t>
      </w:r>
      <w:r>
        <w:rPr>
          <w:rFonts w:hint="default" w:ascii="Times New Roman" w:hAnsi="Times New Roman" w:cs="Times New Roman"/>
          <w:color w:val="auto"/>
          <w:kern w:val="0"/>
          <w:highlight w:val="none"/>
          <w:lang w:val="en-US" w:eastAsia="zh-CN"/>
        </w:rPr>
        <w:t>应</w:t>
      </w:r>
      <w:r>
        <w:rPr>
          <w:rFonts w:hint="default" w:ascii="Times New Roman" w:hAnsi="Times New Roman" w:cs="Times New Roman"/>
          <w:color w:val="auto"/>
          <w:kern w:val="0"/>
          <w:highlight w:val="none"/>
        </w:rPr>
        <w:t>由三根表面光滑的金属材质的支撑杆和两块金属材质的支架端板组成。</w:t>
      </w:r>
      <w:r>
        <w:rPr>
          <w:rFonts w:ascii="Times New Roman" w:hAnsi="Times New Roman" w:cs="Times New Roman"/>
          <w:color w:val="auto"/>
          <w:kern w:val="0"/>
          <w:highlight w:val="none"/>
        </w:rPr>
        <w:t>一端</w:t>
      </w:r>
      <w:r>
        <w:rPr>
          <w:rFonts w:hint="default" w:ascii="Times New Roman" w:hAnsi="Times New Roman" w:cs="Times New Roman"/>
          <w:color w:val="auto"/>
          <w:kern w:val="0"/>
          <w:highlight w:val="none"/>
        </w:rPr>
        <w:t>端板</w:t>
      </w:r>
      <w:r>
        <w:rPr>
          <w:rFonts w:ascii="Times New Roman" w:hAnsi="Times New Roman" w:cs="Times New Roman"/>
          <w:color w:val="auto"/>
          <w:kern w:val="0"/>
          <w:highlight w:val="none"/>
        </w:rPr>
        <w:t>应</w:t>
      </w:r>
      <w:r>
        <w:rPr>
          <w:rFonts w:hint="default" w:ascii="Times New Roman" w:hAnsi="Times New Roman" w:cs="Times New Roman"/>
          <w:color w:val="auto"/>
          <w:kern w:val="0"/>
          <w:highlight w:val="none"/>
          <w:lang w:val="en-US" w:eastAsia="zh-CN"/>
        </w:rPr>
        <w:t>采用</w:t>
      </w:r>
      <w:r>
        <w:rPr>
          <w:rFonts w:ascii="Times New Roman" w:hAnsi="Times New Roman" w:cs="Times New Roman"/>
          <w:color w:val="auto"/>
          <w:kern w:val="0"/>
          <w:highlight w:val="none"/>
        </w:rPr>
        <w:t>可靠方式将波纹管一端固定，另一端</w:t>
      </w:r>
      <w:r>
        <w:rPr>
          <w:rFonts w:hint="default" w:ascii="Times New Roman" w:hAnsi="Times New Roman" w:cs="Times New Roman"/>
          <w:color w:val="auto"/>
          <w:kern w:val="0"/>
          <w:highlight w:val="none"/>
        </w:rPr>
        <w:t>端板</w:t>
      </w:r>
      <w:r>
        <w:rPr>
          <w:rFonts w:ascii="Times New Roman" w:hAnsi="Times New Roman" w:cs="Times New Roman"/>
          <w:color w:val="auto"/>
          <w:kern w:val="0"/>
          <w:highlight w:val="none"/>
        </w:rPr>
        <w:t>应</w:t>
      </w:r>
      <w:r>
        <w:rPr>
          <w:rFonts w:hint="default" w:ascii="Times New Roman" w:hAnsi="Times New Roman" w:cs="Times New Roman"/>
          <w:color w:val="auto"/>
          <w:kern w:val="0"/>
          <w:highlight w:val="none"/>
          <w:lang w:val="en-US" w:eastAsia="zh-CN"/>
        </w:rPr>
        <w:t>采用</w:t>
      </w:r>
      <w:r>
        <w:rPr>
          <w:rFonts w:ascii="Times New Roman" w:hAnsi="Times New Roman" w:cs="Times New Roman"/>
          <w:color w:val="auto"/>
          <w:kern w:val="0"/>
          <w:highlight w:val="none"/>
        </w:rPr>
        <w:t>可靠方式固定</w:t>
      </w:r>
      <w:r>
        <w:rPr>
          <w:rFonts w:hint="default" w:ascii="Times New Roman" w:hAnsi="Times New Roman" w:cs="Times New Roman"/>
          <w:color w:val="auto"/>
          <w:kern w:val="0"/>
          <w:highlight w:val="none"/>
        </w:rPr>
        <w:t>千分表或传感器</w:t>
      </w:r>
      <w:r>
        <w:rPr>
          <w:rFonts w:ascii="Times New Roman" w:hAnsi="Times New Roman" w:cs="Times New Roman"/>
          <w:color w:val="auto"/>
          <w:kern w:val="0"/>
          <w:highlight w:val="none"/>
        </w:rPr>
        <w:t>。</w:t>
      </w:r>
      <w:r>
        <w:rPr>
          <w:rFonts w:hint="default" w:ascii="Times New Roman" w:hAnsi="Times New Roman" w:cs="Times New Roman"/>
          <w:color w:val="auto"/>
          <w:kern w:val="0"/>
          <w:highlight w:val="none"/>
        </w:rPr>
        <w:t>测试支架整体应固定于具有</w:t>
      </w:r>
      <w:r>
        <w:rPr>
          <w:rFonts w:hint="default" w:ascii="Times New Roman" w:hAnsi="Times New Roman" w:cs="Times New Roman"/>
          <w:color w:val="auto"/>
          <w:kern w:val="0"/>
          <w:highlight w:val="none"/>
          <w:lang w:val="en-US" w:eastAsia="zh-CN"/>
        </w:rPr>
        <w:t>减振</w:t>
      </w:r>
      <w:r>
        <w:rPr>
          <w:rFonts w:hint="default" w:ascii="Times New Roman" w:hAnsi="Times New Roman" w:cs="Times New Roman"/>
          <w:color w:val="auto"/>
          <w:kern w:val="0"/>
          <w:highlight w:val="none"/>
        </w:rPr>
        <w:t>功能的固定式实验台上。</w:t>
      </w:r>
    </w:p>
    <w:p w14:paraId="28B397DC">
      <w:pPr>
        <w:widowControl/>
        <w:kinsoku/>
        <w:overflowPunct/>
        <w:bidi w:val="0"/>
        <w:spacing w:line="360" w:lineRule="auto"/>
        <w:jc w:val="center"/>
        <w:rPr>
          <w:rFonts w:ascii="Times New Roman" w:hAnsi="Times New Roman" w:cs="Times New Roman"/>
          <w:b/>
          <w:color w:val="auto"/>
          <w:kern w:val="0"/>
          <w:sz w:val="24"/>
          <w:highlight w:val="none"/>
        </w:rPr>
      </w:pPr>
      <w:r>
        <w:rPr>
          <w:rFonts w:ascii="Times New Roman" w:hAnsi="Times New Roman" w:cs="Times New Roman"/>
          <w:color w:val="auto"/>
          <w:kern w:val="0"/>
          <w:sz w:val="24"/>
          <w:highlight w:val="none"/>
        </w:rPr>
        <w:drawing>
          <wp:inline distT="0" distB="0" distL="114300" distR="114300">
            <wp:extent cx="4398645" cy="2617470"/>
            <wp:effectExtent l="0" t="0" r="1905" b="11430"/>
            <wp:docPr id="16" name="图片 41" descr="XTQIDKK%[I8PK_[7C`K%U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descr="XTQIDKK%[I8PK_[7C`K%UUB"/>
                    <pic:cNvPicPr>
                      <a:picLocks noChangeAspect="1"/>
                    </pic:cNvPicPr>
                  </pic:nvPicPr>
                  <pic:blipFill>
                    <a:blip r:embed="rId202"/>
                    <a:stretch>
                      <a:fillRect/>
                    </a:stretch>
                  </pic:blipFill>
                  <pic:spPr>
                    <a:xfrm>
                      <a:off x="0" y="0"/>
                      <a:ext cx="4398645" cy="2617470"/>
                    </a:xfrm>
                    <a:prstGeom prst="rect">
                      <a:avLst/>
                    </a:prstGeom>
                    <a:noFill/>
                    <a:ln>
                      <a:noFill/>
                    </a:ln>
                  </pic:spPr>
                </pic:pic>
              </a:graphicData>
            </a:graphic>
          </wp:inline>
        </w:drawing>
      </w:r>
    </w:p>
    <w:p w14:paraId="037AD18F">
      <w:pPr>
        <w:widowControl/>
        <w:kinsoku/>
        <w:overflowPunct/>
        <w:topLinePunct/>
        <w:bidi w:val="0"/>
        <w:adjustRightInd w:val="0"/>
        <w:snapToGrid w:val="0"/>
        <w:spacing w:line="360" w:lineRule="auto"/>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图</w:t>
      </w:r>
      <w:r>
        <w:rPr>
          <w:rFonts w:hint="default" w:ascii="Times New Roman" w:hAnsi="Times New Roman" w:cs="Times New Roman"/>
          <w:color w:val="auto"/>
          <w:kern w:val="0"/>
          <w:sz w:val="18"/>
          <w:szCs w:val="18"/>
          <w:highlight w:val="none"/>
          <w:lang w:eastAsia="zh-CN"/>
        </w:rPr>
        <w:t>7</w:t>
      </w:r>
      <w:r>
        <w:rPr>
          <w:rFonts w:ascii="Times New Roman" w:hAnsi="Times New Roman" w:cs="Times New Roman"/>
          <w:color w:val="auto"/>
          <w:kern w:val="0"/>
          <w:sz w:val="18"/>
          <w:szCs w:val="18"/>
          <w:highlight w:val="none"/>
        </w:rPr>
        <w:t>.</w:t>
      </w:r>
      <w:r>
        <w:rPr>
          <w:rFonts w:hint="default" w:ascii="Times New Roman" w:hAnsi="Times New Roman" w:cs="Times New Roman"/>
          <w:color w:val="auto"/>
          <w:kern w:val="0"/>
          <w:sz w:val="18"/>
          <w:szCs w:val="18"/>
          <w:highlight w:val="none"/>
          <w:lang w:eastAsia="zh-CN"/>
        </w:rPr>
        <w:t>2</w:t>
      </w:r>
      <w:r>
        <w:rPr>
          <w:rFonts w:ascii="Times New Roman" w:hAnsi="Times New Roman" w:cs="Times New Roman"/>
          <w:color w:val="auto"/>
          <w:kern w:val="0"/>
          <w:sz w:val="18"/>
          <w:szCs w:val="18"/>
          <w:highlight w:val="none"/>
        </w:rPr>
        <w:t>.2-</w:t>
      </w:r>
      <w:r>
        <w:rPr>
          <w:rFonts w:hint="default" w:ascii="Times New Roman" w:hAnsi="Times New Roman" w:cs="Times New Roman"/>
          <w:color w:val="auto"/>
          <w:kern w:val="0"/>
          <w:sz w:val="18"/>
          <w:szCs w:val="18"/>
          <w:highlight w:val="none"/>
        </w:rPr>
        <w:t>3</w:t>
      </w:r>
      <w:r>
        <w:rPr>
          <w:rFonts w:ascii="Times New Roman" w:hAnsi="Times New Roman" w:cs="Times New Roman"/>
          <w:color w:val="auto"/>
          <w:kern w:val="0"/>
          <w:sz w:val="18"/>
          <w:szCs w:val="18"/>
          <w:highlight w:val="none"/>
        </w:rPr>
        <w:t xml:space="preserve">  波纹管法测试支架</w:t>
      </w:r>
    </w:p>
    <w:p w14:paraId="257482CC">
      <w:pPr>
        <w:widowControl/>
        <w:kinsoku/>
        <w:overflowPunct/>
        <w:topLinePunct/>
        <w:bidi w:val="0"/>
        <w:adjustRightInd w:val="0"/>
        <w:snapToGrid w:val="0"/>
        <w:spacing w:line="360" w:lineRule="auto"/>
        <w:jc w:val="center"/>
        <w:rPr>
          <w:rFonts w:ascii="Times New Roman" w:hAnsi="Times New Roman" w:cs="Times New Roman"/>
          <w:color w:val="auto"/>
          <w:kern w:val="0"/>
          <w:highlight w:val="none"/>
        </w:rPr>
      </w:pPr>
      <w:r>
        <w:rPr>
          <w:rFonts w:ascii="Times New Roman" w:hAnsi="Times New Roman" w:cs="Times New Roman"/>
          <w:color w:val="auto"/>
          <w:kern w:val="0"/>
          <w:sz w:val="15"/>
          <w:szCs w:val="15"/>
          <w:highlight w:val="none"/>
        </w:rPr>
        <w:t>1－支架端板；2－支撑杆</w:t>
      </w:r>
    </w:p>
    <w:p w14:paraId="3BA7DF1C">
      <w:pPr>
        <w:widowControl/>
        <w:kinsoku/>
        <w:overflowPunct/>
        <w:topLinePunct/>
        <w:bidi w:val="0"/>
        <w:adjustRightInd w:val="0"/>
        <w:snapToGrid w:val="0"/>
        <w:spacing w:line="360" w:lineRule="auto"/>
        <w:ind w:firstLine="435"/>
        <w:rPr>
          <w:rFonts w:ascii="Times New Roman" w:hAnsi="Times New Roman" w:cs="Times New Roman"/>
          <w:color w:val="auto"/>
          <w:kern w:val="0"/>
          <w:highlight w:val="none"/>
        </w:rPr>
      </w:pPr>
      <w:r>
        <w:rPr>
          <w:rFonts w:ascii="Times New Roman" w:hAnsi="Times New Roman" w:eastAsia="黑体" w:cs="Times New Roman"/>
          <w:bCs/>
          <w:color w:val="auto"/>
          <w:szCs w:val="21"/>
          <w:highlight w:val="none"/>
        </w:rPr>
        <w:t xml:space="preserve">4  </w:t>
      </w:r>
      <w:r>
        <w:rPr>
          <w:rFonts w:ascii="Times New Roman" w:hAnsi="Times New Roman" w:cs="Times New Roman"/>
          <w:color w:val="auto"/>
          <w:kern w:val="0"/>
          <w:highlight w:val="none"/>
        </w:rPr>
        <w:t>测量装置可采用下列形式之一：</w:t>
      </w:r>
    </w:p>
    <w:p w14:paraId="428894E3">
      <w:pPr>
        <w:widowControl/>
        <w:kinsoku/>
        <w:overflowPunct/>
        <w:topLinePunct/>
        <w:bidi w:val="0"/>
        <w:adjustRightInd w:val="0"/>
        <w:snapToGrid w:val="0"/>
        <w:spacing w:line="360" w:lineRule="auto"/>
        <w:ind w:firstLine="420" w:firstLineChars="200"/>
        <w:rPr>
          <w:rFonts w:ascii="Times New Roman" w:hAnsi="Times New Roman" w:cs="Times New Roman"/>
          <w:color w:val="auto"/>
          <w:kern w:val="0"/>
          <w:highlight w:val="none"/>
        </w:rPr>
      </w:pPr>
      <w:r>
        <w:rPr>
          <w:rFonts w:ascii="Times New Roman" w:hAnsi="Times New Roman" w:cs="Times New Roman"/>
          <w:color w:val="auto"/>
          <w:kern w:val="0"/>
          <w:highlight w:val="none"/>
        </w:rPr>
        <w:t>1）采用千分表测量时，测量标距应为4</w:t>
      </w:r>
      <w:r>
        <w:rPr>
          <w:rFonts w:hint="default" w:ascii="Times New Roman" w:hAnsi="Times New Roman" w:cs="Times New Roman"/>
          <w:color w:val="auto"/>
          <w:kern w:val="0"/>
          <w:highlight w:val="none"/>
        </w:rPr>
        <w:t>4</w:t>
      </w:r>
      <w:r>
        <w:rPr>
          <w:rFonts w:ascii="Times New Roman" w:hAnsi="Times New Roman" w:cs="Times New Roman"/>
          <w:color w:val="auto"/>
          <w:kern w:val="0"/>
          <w:highlight w:val="none"/>
        </w:rPr>
        <w:t>0mm，并应</w:t>
      </w:r>
      <w:r>
        <w:rPr>
          <w:rFonts w:hint="default" w:ascii="Times New Roman" w:hAnsi="Times New Roman" w:cs="Times New Roman"/>
          <w:color w:val="auto"/>
          <w:kern w:val="0"/>
          <w:highlight w:val="none"/>
          <w:lang w:val="en-US" w:eastAsia="zh-CN"/>
        </w:rPr>
        <w:t>配备</w:t>
      </w:r>
      <w:r>
        <w:rPr>
          <w:rFonts w:ascii="Times New Roman" w:hAnsi="Times New Roman" w:cs="Times New Roman"/>
          <w:color w:val="auto"/>
          <w:kern w:val="0"/>
          <w:highlight w:val="none"/>
        </w:rPr>
        <w:t>硬钢或石英玻璃制作的标准杆。千分表</w:t>
      </w:r>
      <w:r>
        <w:rPr>
          <w:rFonts w:hint="default" w:ascii="Times New Roman" w:hAnsi="Times New Roman" w:cs="Times New Roman"/>
          <w:color w:val="auto"/>
          <w:kern w:val="0"/>
          <w:highlight w:val="none"/>
        </w:rPr>
        <w:t>的</w:t>
      </w:r>
      <w:r>
        <w:rPr>
          <w:rFonts w:ascii="Times New Roman" w:hAnsi="Times New Roman" w:cs="Times New Roman"/>
          <w:color w:val="auto"/>
          <w:kern w:val="0"/>
          <w:highlight w:val="none"/>
        </w:rPr>
        <w:t>精度</w:t>
      </w:r>
      <w:r>
        <w:rPr>
          <w:rFonts w:hint="default" w:ascii="Times New Roman" w:hAnsi="Times New Roman" w:cs="Times New Roman"/>
          <w:color w:val="auto"/>
          <w:kern w:val="0"/>
          <w:highlight w:val="none"/>
        </w:rPr>
        <w:t>应</w:t>
      </w:r>
      <w:r>
        <w:rPr>
          <w:rFonts w:ascii="Times New Roman" w:hAnsi="Times New Roman" w:cs="Times New Roman"/>
          <w:color w:val="auto"/>
          <w:kern w:val="0"/>
          <w:highlight w:val="none"/>
        </w:rPr>
        <w:t>为0.001mm。</w:t>
      </w:r>
    </w:p>
    <w:p w14:paraId="0345507D">
      <w:pPr>
        <w:widowControl/>
        <w:kinsoku/>
        <w:overflowPunct/>
        <w:topLinePunct/>
        <w:bidi w:val="0"/>
        <w:adjustRightInd w:val="0"/>
        <w:snapToGrid w:val="0"/>
        <w:spacing w:line="360" w:lineRule="auto"/>
        <w:ind w:firstLine="420" w:firstLineChars="200"/>
        <w:rPr>
          <w:rFonts w:ascii="Times New Roman" w:hAnsi="Times New Roman" w:cs="Times New Roman"/>
          <w:color w:val="auto"/>
          <w:kern w:val="0"/>
          <w:highlight w:val="none"/>
        </w:rPr>
      </w:pPr>
      <w:r>
        <w:rPr>
          <w:rFonts w:ascii="Times New Roman" w:hAnsi="Times New Roman" w:cs="Times New Roman"/>
          <w:color w:val="auto"/>
          <w:kern w:val="0"/>
          <w:highlight w:val="none"/>
        </w:rPr>
        <w:t>2）</w:t>
      </w:r>
      <w:r>
        <w:rPr>
          <w:rFonts w:hint="default" w:ascii="Times New Roman" w:hAnsi="Times New Roman" w:cs="Times New Roman"/>
          <w:color w:val="auto"/>
          <w:kern w:val="0"/>
          <w:highlight w:val="none"/>
          <w:lang w:val="en-US" w:eastAsia="zh-CN"/>
        </w:rPr>
        <w:t>采用</w:t>
      </w:r>
      <w:r>
        <w:rPr>
          <w:rFonts w:ascii="Times New Roman" w:hAnsi="Times New Roman" w:cs="Times New Roman"/>
          <w:color w:val="auto"/>
          <w:highlight w:val="none"/>
        </w:rPr>
        <w:t>非接触法</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收缩变形测定仪</w:t>
      </w:r>
      <w:r>
        <w:rPr>
          <w:rFonts w:hint="default" w:ascii="Times New Roman" w:hAnsi="Times New Roman" w:cs="Times New Roman"/>
          <w:color w:val="auto"/>
          <w:highlight w:val="none"/>
          <w:lang w:val="en-US" w:eastAsia="zh-CN"/>
        </w:rPr>
        <w:t>时，</w:t>
      </w:r>
      <w:r>
        <w:rPr>
          <w:rFonts w:hint="default" w:ascii="Times New Roman" w:hAnsi="Times New Roman" w:cs="Times New Roman"/>
          <w:color w:val="auto"/>
          <w:highlight w:val="none"/>
        </w:rPr>
        <w:t>应符合本标准第</w:t>
      </w:r>
      <w:r>
        <w:rPr>
          <w:rFonts w:hint="default" w:ascii="Times New Roman" w:hAnsi="Times New Roman" w:cs="Times New Roman"/>
          <w:color w:val="auto"/>
          <w:highlight w:val="none"/>
          <w:lang w:eastAsia="zh-CN"/>
        </w:rPr>
        <w:t>7</w:t>
      </w:r>
      <w:r>
        <w:rPr>
          <w:rFonts w:hint="default" w:ascii="Times New Roman" w:hAnsi="Times New Roman" w:cs="Times New Roman"/>
          <w:color w:val="auto"/>
          <w:highlight w:val="none"/>
        </w:rPr>
        <w:t>.1.3条的规定</w:t>
      </w:r>
      <w:r>
        <w:rPr>
          <w:rFonts w:ascii="Times New Roman" w:hAnsi="Times New Roman" w:cs="Times New Roman"/>
          <w:color w:val="auto"/>
          <w:highlight w:val="none"/>
        </w:rPr>
        <w:t>。</w:t>
      </w:r>
    </w:p>
    <w:p w14:paraId="765A7BE7">
      <w:pPr>
        <w:widowControl/>
        <w:kinsoku/>
        <w:overflowPunct/>
        <w:topLinePunct/>
        <w:bidi w:val="0"/>
        <w:adjustRightInd w:val="0"/>
        <w:snapToGrid w:val="0"/>
        <w:spacing w:line="360" w:lineRule="auto"/>
        <w:rPr>
          <w:rFonts w:ascii="Times New Roman" w:hAnsi="Times New Roman" w:cs="Times New Roman"/>
          <w:color w:val="auto"/>
          <w:kern w:val="0"/>
          <w:highlight w:val="none"/>
        </w:rPr>
      </w:pPr>
      <w:r>
        <w:rPr>
          <w:rFonts w:hint="default" w:ascii="Times New Roman" w:hAnsi="Times New Roman" w:cs="Times New Roman"/>
          <w:color w:val="auto"/>
          <w:kern w:val="0"/>
          <w:highlight w:val="none"/>
          <w:lang w:eastAsia="zh-CN"/>
        </w:rPr>
        <w:t>7</w:t>
      </w:r>
      <w:r>
        <w:rPr>
          <w:rFonts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2</w:t>
      </w:r>
      <w:r>
        <w:rPr>
          <w:rFonts w:ascii="Times New Roman" w:hAnsi="Times New Roman" w:cs="Times New Roman"/>
          <w:color w:val="auto"/>
          <w:kern w:val="0"/>
          <w:highlight w:val="none"/>
        </w:rPr>
        <w:t>.3  试件制作应符合下列规定：</w:t>
      </w:r>
    </w:p>
    <w:p w14:paraId="32DFEF39">
      <w:pPr>
        <w:widowControl/>
        <w:kinsoku/>
        <w:overflowPunct/>
        <w:topLinePunct/>
        <w:bidi w:val="0"/>
        <w:adjustRightInd w:val="0"/>
        <w:snapToGrid w:val="0"/>
        <w:spacing w:line="360" w:lineRule="auto"/>
        <w:ind w:firstLine="435"/>
        <w:rPr>
          <w:rFonts w:ascii="Times New Roman" w:hAnsi="Times New Roman" w:cs="Times New Roman"/>
          <w:color w:val="auto"/>
          <w:kern w:val="0"/>
          <w:highlight w:val="none"/>
        </w:rPr>
      </w:pPr>
      <w:r>
        <w:rPr>
          <w:rFonts w:ascii="Times New Roman" w:hAnsi="Times New Roman" w:cs="Times New Roman"/>
          <w:color w:val="auto"/>
          <w:kern w:val="0"/>
          <w:highlight w:val="none"/>
        </w:rPr>
        <w:t>1  应</w:t>
      </w:r>
      <w:r>
        <w:rPr>
          <w:rFonts w:hint="default" w:ascii="Times New Roman" w:hAnsi="Times New Roman" w:cs="Times New Roman"/>
          <w:color w:val="auto"/>
          <w:kern w:val="0"/>
          <w:highlight w:val="none"/>
          <w:lang w:val="en-US" w:eastAsia="zh-CN"/>
        </w:rPr>
        <w:t>采</w:t>
      </w:r>
      <w:r>
        <w:rPr>
          <w:rFonts w:ascii="Times New Roman" w:hAnsi="Times New Roman" w:cs="Times New Roman"/>
          <w:color w:val="auto"/>
          <w:kern w:val="0"/>
          <w:highlight w:val="none"/>
        </w:rPr>
        <w:t>用密封端塞完全密封波纹管的一端，并将波纹管竖直置于振动台上，密封端应朝下放置。</w:t>
      </w:r>
    </w:p>
    <w:p w14:paraId="0B083D6C">
      <w:pPr>
        <w:widowControl/>
        <w:kinsoku/>
        <w:overflowPunct/>
        <w:topLinePunct/>
        <w:bidi w:val="0"/>
        <w:adjustRightInd w:val="0"/>
        <w:snapToGrid w:val="0"/>
        <w:spacing w:line="360" w:lineRule="auto"/>
        <w:ind w:firstLine="435"/>
        <w:rPr>
          <w:rFonts w:ascii="Times New Roman" w:hAnsi="Times New Roman" w:cs="Times New Roman"/>
          <w:color w:val="auto"/>
          <w:kern w:val="0"/>
          <w:highlight w:val="none"/>
        </w:rPr>
      </w:pPr>
      <w:r>
        <w:rPr>
          <w:rFonts w:ascii="Times New Roman" w:hAnsi="Times New Roman" w:cs="Times New Roman"/>
          <w:color w:val="auto"/>
          <w:kern w:val="0"/>
          <w:highlight w:val="none"/>
        </w:rPr>
        <w:t>2  应将</w:t>
      </w:r>
      <w:r>
        <w:rPr>
          <w:rFonts w:hint="default" w:ascii="Times New Roman" w:hAnsi="Times New Roman" w:cs="Times New Roman"/>
          <w:color w:val="auto"/>
          <w:kern w:val="0"/>
          <w:highlight w:val="none"/>
          <w:lang w:eastAsia="zh-CN"/>
        </w:rPr>
        <w:t>超高性能混凝土</w:t>
      </w:r>
      <w:r>
        <w:rPr>
          <w:rFonts w:ascii="Times New Roman" w:hAnsi="Times New Roman" w:cs="Times New Roman"/>
          <w:color w:val="auto"/>
          <w:kern w:val="0"/>
          <w:highlight w:val="none"/>
        </w:rPr>
        <w:t>试样分四层缓慢、均匀地填装入波纹管内，每层应用捣棒插捣10次，捣棒应插透本层至下一层的表面。填装时不应拉伸或压缩波纹管，应</w:t>
      </w:r>
      <w:r>
        <w:rPr>
          <w:rFonts w:hint="default" w:ascii="Times New Roman" w:hAnsi="Times New Roman" w:cs="Times New Roman"/>
          <w:color w:val="auto"/>
          <w:kern w:val="0"/>
          <w:highlight w:val="none"/>
        </w:rPr>
        <w:t>采用可靠方式保持</w:t>
      </w:r>
      <w:r>
        <w:rPr>
          <w:rFonts w:ascii="Times New Roman" w:hAnsi="Times New Roman" w:cs="Times New Roman"/>
          <w:color w:val="auto"/>
          <w:kern w:val="0"/>
          <w:highlight w:val="none"/>
        </w:rPr>
        <w:t>波纹管</w:t>
      </w:r>
      <w:r>
        <w:rPr>
          <w:rFonts w:hint="default" w:ascii="Times New Roman" w:hAnsi="Times New Roman" w:cs="Times New Roman"/>
          <w:color w:val="auto"/>
          <w:kern w:val="0"/>
          <w:highlight w:val="none"/>
        </w:rPr>
        <w:t>试件</w:t>
      </w:r>
      <w:r>
        <w:rPr>
          <w:rFonts w:ascii="Times New Roman" w:hAnsi="Times New Roman" w:cs="Times New Roman"/>
          <w:color w:val="auto"/>
          <w:kern w:val="0"/>
          <w:highlight w:val="none"/>
        </w:rPr>
        <w:t>初始长度为（4</w:t>
      </w:r>
      <w:r>
        <w:rPr>
          <w:rFonts w:hint="default" w:ascii="Times New Roman" w:hAnsi="Times New Roman" w:cs="Times New Roman"/>
          <w:color w:val="auto"/>
          <w:kern w:val="0"/>
          <w:highlight w:val="none"/>
        </w:rPr>
        <w:t>3</w:t>
      </w:r>
      <w:r>
        <w:rPr>
          <w:rFonts w:ascii="Times New Roman" w:hAnsi="Times New Roman" w:cs="Times New Roman"/>
          <w:color w:val="auto"/>
          <w:kern w:val="0"/>
          <w:highlight w:val="none"/>
        </w:rPr>
        <w:t>0±</w:t>
      </w:r>
      <w:r>
        <w:rPr>
          <w:rFonts w:hint="default" w:ascii="Times New Roman" w:hAnsi="Times New Roman" w:cs="Times New Roman"/>
          <w:color w:val="auto"/>
          <w:kern w:val="0"/>
          <w:highlight w:val="none"/>
        </w:rPr>
        <w:t>5</w:t>
      </w:r>
      <w:r>
        <w:rPr>
          <w:rFonts w:ascii="Times New Roman" w:hAnsi="Times New Roman" w:cs="Times New Roman"/>
          <w:color w:val="auto"/>
          <w:kern w:val="0"/>
          <w:highlight w:val="none"/>
        </w:rPr>
        <w:t>）mm</w:t>
      </w:r>
      <w:r>
        <w:rPr>
          <w:rFonts w:hint="default" w:ascii="Times New Roman" w:hAnsi="Times New Roman" w:cs="Times New Roman"/>
          <w:color w:val="auto"/>
          <w:kern w:val="0"/>
          <w:highlight w:val="none"/>
        </w:rPr>
        <w:t>（包含底端的密封端塞）</w:t>
      </w:r>
      <w:r>
        <w:rPr>
          <w:rFonts w:ascii="Times New Roman" w:hAnsi="Times New Roman" w:cs="Times New Roman"/>
          <w:color w:val="auto"/>
          <w:kern w:val="0"/>
          <w:highlight w:val="none"/>
        </w:rPr>
        <w:t>。填装完成后，应开启振动台振动至波纹管内壁无气泡附着，不</w:t>
      </w:r>
      <w:r>
        <w:rPr>
          <w:rFonts w:hint="default" w:ascii="Times New Roman" w:hAnsi="Times New Roman" w:cs="Times New Roman"/>
          <w:color w:val="auto"/>
          <w:kern w:val="0"/>
          <w:highlight w:val="none"/>
        </w:rPr>
        <w:t>应</w:t>
      </w:r>
      <w:r>
        <w:rPr>
          <w:rFonts w:ascii="Times New Roman" w:hAnsi="Times New Roman" w:cs="Times New Roman"/>
          <w:color w:val="auto"/>
          <w:kern w:val="0"/>
          <w:highlight w:val="none"/>
        </w:rPr>
        <w:t>过振。振动完成后，应填补</w:t>
      </w:r>
      <w:r>
        <w:rPr>
          <w:rFonts w:hint="default" w:ascii="Times New Roman" w:hAnsi="Times New Roman" w:cs="Times New Roman"/>
          <w:color w:val="auto"/>
          <w:kern w:val="0"/>
          <w:highlight w:val="none"/>
          <w:lang w:eastAsia="zh-CN"/>
        </w:rPr>
        <w:t>超高性能混凝土</w:t>
      </w:r>
      <w:r>
        <w:rPr>
          <w:rFonts w:ascii="Times New Roman" w:hAnsi="Times New Roman" w:cs="Times New Roman"/>
          <w:color w:val="auto"/>
          <w:kern w:val="0"/>
          <w:highlight w:val="none"/>
        </w:rPr>
        <w:t>试样至刚好预留顶</w:t>
      </w:r>
      <w:r>
        <w:rPr>
          <w:rFonts w:hint="default" w:ascii="Times New Roman" w:hAnsi="Times New Roman" w:cs="Times New Roman"/>
          <w:color w:val="auto"/>
          <w:kern w:val="0"/>
          <w:highlight w:val="none"/>
        </w:rPr>
        <w:t>端的</w:t>
      </w:r>
      <w:r>
        <w:rPr>
          <w:rFonts w:ascii="Times New Roman" w:hAnsi="Times New Roman" w:cs="Times New Roman"/>
          <w:color w:val="auto"/>
          <w:kern w:val="0"/>
          <w:highlight w:val="none"/>
        </w:rPr>
        <w:t>密封端塞空间，并采用密封端塞完全密封波纹管顶端。</w:t>
      </w:r>
    </w:p>
    <w:p w14:paraId="6809D759">
      <w:pPr>
        <w:widowControl/>
        <w:kinsoku/>
        <w:overflowPunct/>
        <w:topLinePunct/>
        <w:bidi w:val="0"/>
        <w:adjustRightInd w:val="0"/>
        <w:snapToGrid w:val="0"/>
        <w:spacing w:line="360" w:lineRule="auto"/>
        <w:ind w:firstLine="435"/>
        <w:rPr>
          <w:rFonts w:hint="default" w:ascii="Times New Roman" w:hAnsi="Times New Roman" w:cs="Times New Roman"/>
          <w:color w:val="auto"/>
          <w:kern w:val="0"/>
          <w:highlight w:val="none"/>
        </w:rPr>
      </w:pPr>
      <w:r>
        <w:rPr>
          <w:rFonts w:ascii="Times New Roman" w:hAnsi="Times New Roman" w:cs="Times New Roman"/>
          <w:color w:val="auto"/>
          <w:kern w:val="0"/>
          <w:highlight w:val="none"/>
        </w:rPr>
        <w:t>3  波纹管密封后应立即清理波纹管表面的浆体与水分。</w:t>
      </w:r>
    </w:p>
    <w:p w14:paraId="48BA0FE0">
      <w:pPr>
        <w:widowControl/>
        <w:kinsoku/>
        <w:overflowPunct/>
        <w:topLinePunct/>
        <w:bidi w:val="0"/>
        <w:adjustRightInd w:val="0"/>
        <w:snapToGrid w:val="0"/>
        <w:spacing w:line="360" w:lineRule="auto"/>
        <w:ind w:firstLine="435"/>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4  每组应制作3个波纹管试件。</w:t>
      </w:r>
    </w:p>
    <w:p w14:paraId="6FFDADAD">
      <w:pPr>
        <w:widowControl/>
        <w:kinsoku/>
        <w:overflowPunct/>
        <w:topLinePunct/>
        <w:bidi w:val="0"/>
        <w:adjustRightInd w:val="0"/>
        <w:snapToGrid w:val="0"/>
        <w:spacing w:line="360" w:lineRule="auto"/>
        <w:rPr>
          <w:rFonts w:ascii="Times New Roman" w:hAnsi="Times New Roman" w:cs="Times New Roman"/>
          <w:color w:val="auto"/>
          <w:kern w:val="0"/>
          <w:highlight w:val="none"/>
        </w:rPr>
      </w:pPr>
      <w:r>
        <w:rPr>
          <w:rFonts w:hint="default" w:ascii="Times New Roman" w:hAnsi="Times New Roman" w:cs="Times New Roman"/>
          <w:color w:val="auto"/>
          <w:kern w:val="0"/>
          <w:highlight w:val="none"/>
          <w:lang w:eastAsia="zh-CN"/>
        </w:rPr>
        <w:t>7</w:t>
      </w:r>
      <w:r>
        <w:rPr>
          <w:rFonts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2</w:t>
      </w:r>
      <w:r>
        <w:rPr>
          <w:rFonts w:ascii="Times New Roman" w:hAnsi="Times New Roman" w:cs="Times New Roman"/>
          <w:color w:val="auto"/>
          <w:kern w:val="0"/>
          <w:highlight w:val="none"/>
        </w:rPr>
        <w:t>.4  试验应按下列步骤进行：</w:t>
      </w:r>
    </w:p>
    <w:p w14:paraId="5B5F1CFE">
      <w:pPr>
        <w:widowControl/>
        <w:kinsoku/>
        <w:overflowPunct/>
        <w:topLinePunct/>
        <w:bidi w:val="0"/>
        <w:adjustRightInd w:val="0"/>
        <w:snapToGrid w:val="0"/>
        <w:spacing w:line="360" w:lineRule="auto"/>
        <w:ind w:firstLine="435"/>
        <w:rPr>
          <w:rFonts w:ascii="Times New Roman" w:hAnsi="Times New Roman" w:cs="Times New Roman"/>
          <w:color w:val="auto"/>
          <w:kern w:val="0"/>
          <w:highlight w:val="none"/>
        </w:rPr>
      </w:pPr>
      <w:r>
        <w:rPr>
          <w:rFonts w:ascii="Times New Roman" w:hAnsi="Times New Roman" w:cs="Times New Roman"/>
          <w:color w:val="auto"/>
          <w:kern w:val="0"/>
          <w:highlight w:val="none"/>
        </w:rPr>
        <w:t>1  试验应在（20±2）℃</w:t>
      </w:r>
      <w:r>
        <w:rPr>
          <w:rFonts w:hint="default" w:ascii="Times New Roman" w:hAnsi="Times New Roman" w:cs="Times New Roman"/>
          <w:color w:val="auto"/>
          <w:kern w:val="0"/>
          <w:highlight w:val="none"/>
          <w:lang w:val="en-US" w:eastAsia="zh-CN"/>
        </w:rPr>
        <w:t>的</w:t>
      </w:r>
      <w:r>
        <w:rPr>
          <w:rFonts w:ascii="Times New Roman" w:hAnsi="Times New Roman" w:cs="Times New Roman"/>
          <w:color w:val="auto"/>
          <w:kern w:val="0"/>
          <w:highlight w:val="none"/>
        </w:rPr>
        <w:t>恒温环境中进行，并应同时在该</w:t>
      </w:r>
      <w:r>
        <w:rPr>
          <w:rFonts w:hint="default" w:ascii="Times New Roman" w:hAnsi="Times New Roman" w:cs="Times New Roman"/>
          <w:color w:val="auto"/>
          <w:kern w:val="0"/>
          <w:highlight w:val="none"/>
          <w:lang w:val="en-US" w:eastAsia="zh-CN"/>
        </w:rPr>
        <w:t>环境</w:t>
      </w:r>
      <w:r>
        <w:rPr>
          <w:rFonts w:ascii="Times New Roman" w:hAnsi="Times New Roman" w:cs="Times New Roman"/>
          <w:color w:val="auto"/>
          <w:kern w:val="0"/>
          <w:highlight w:val="none"/>
        </w:rPr>
        <w:t>下测定</w:t>
      </w:r>
      <w:r>
        <w:rPr>
          <w:rFonts w:hint="default" w:ascii="Times New Roman" w:hAnsi="Times New Roman" w:cs="Times New Roman"/>
          <w:color w:val="auto"/>
          <w:kern w:val="0"/>
          <w:highlight w:val="none"/>
          <w:lang w:eastAsia="zh-CN"/>
        </w:rPr>
        <w:t>超高性能混凝土</w:t>
      </w:r>
      <w:r>
        <w:rPr>
          <w:rFonts w:ascii="Times New Roman" w:hAnsi="Times New Roman" w:cs="Times New Roman"/>
          <w:color w:val="auto"/>
          <w:kern w:val="0"/>
          <w:highlight w:val="none"/>
        </w:rPr>
        <w:t>试样的初凝时间。</w:t>
      </w:r>
    </w:p>
    <w:p w14:paraId="2142181B">
      <w:pPr>
        <w:widowControl/>
        <w:kinsoku/>
        <w:overflowPunct/>
        <w:topLinePunct/>
        <w:bidi w:val="0"/>
        <w:adjustRightInd w:val="0"/>
        <w:snapToGrid w:val="0"/>
        <w:spacing w:line="360" w:lineRule="auto"/>
        <w:ind w:firstLine="435"/>
        <w:rPr>
          <w:rFonts w:ascii="Times New Roman" w:hAnsi="Times New Roman" w:cs="Times New Roman"/>
          <w:color w:val="auto"/>
          <w:kern w:val="0"/>
          <w:highlight w:val="none"/>
        </w:rPr>
      </w:pPr>
      <w:r>
        <w:rPr>
          <w:rFonts w:ascii="Times New Roman" w:hAnsi="Times New Roman" w:cs="Times New Roman"/>
          <w:color w:val="auto"/>
          <w:kern w:val="0"/>
          <w:highlight w:val="none"/>
        </w:rPr>
        <w:t>2  采用千分表测量时，测量前应先用标准杆校正仪表的零点。</w:t>
      </w:r>
    </w:p>
    <w:p w14:paraId="1E01B00E">
      <w:pPr>
        <w:widowControl/>
        <w:kinsoku/>
        <w:overflowPunct/>
        <w:topLinePunct/>
        <w:bidi w:val="0"/>
        <w:adjustRightInd w:val="0"/>
        <w:snapToGrid w:val="0"/>
        <w:spacing w:line="360" w:lineRule="auto"/>
        <w:ind w:firstLine="435"/>
        <w:rPr>
          <w:rFonts w:ascii="Times New Roman" w:hAnsi="Times New Roman" w:cs="Times New Roman"/>
          <w:color w:val="auto"/>
          <w:kern w:val="0"/>
          <w:highlight w:val="none"/>
        </w:rPr>
      </w:pPr>
      <w:r>
        <w:rPr>
          <w:rFonts w:ascii="Times New Roman" w:hAnsi="Times New Roman" w:cs="Times New Roman"/>
          <w:color w:val="auto"/>
          <w:kern w:val="0"/>
          <w:highlight w:val="none"/>
        </w:rPr>
        <w:t>3  测试支架的支撑杆表面应涂一薄层矿物油或其他润滑剂，试件制作完成后应立即水平放置于测试支架的支撑杆上。波纹管试件的一端应固定在测试支架上，另一端连接千分表或传感器。</w:t>
      </w:r>
    </w:p>
    <w:p w14:paraId="35B5D5BC">
      <w:pPr>
        <w:widowControl/>
        <w:kinsoku/>
        <w:overflowPunct/>
        <w:topLinePunct/>
        <w:bidi w:val="0"/>
        <w:adjustRightInd w:val="0"/>
        <w:snapToGrid w:val="0"/>
        <w:spacing w:line="360" w:lineRule="auto"/>
        <w:ind w:firstLine="435"/>
        <w:rPr>
          <w:rFonts w:hint="default" w:ascii="Times New Roman" w:hAnsi="Times New Roman" w:cs="Times New Roman"/>
          <w:color w:val="auto"/>
          <w:kern w:val="0"/>
          <w:highlight w:val="none"/>
        </w:rPr>
      </w:pPr>
      <w:r>
        <w:rPr>
          <w:rFonts w:ascii="Times New Roman" w:hAnsi="Times New Roman" w:cs="Times New Roman"/>
          <w:color w:val="auto"/>
          <w:kern w:val="0"/>
          <w:highlight w:val="none"/>
        </w:rPr>
        <w:t>4  当</w:t>
      </w:r>
      <w:r>
        <w:rPr>
          <w:rFonts w:hint="default" w:ascii="Times New Roman" w:hAnsi="Times New Roman" w:cs="Times New Roman"/>
          <w:color w:val="auto"/>
          <w:kern w:val="0"/>
          <w:highlight w:val="none"/>
          <w:lang w:eastAsia="zh-CN"/>
        </w:rPr>
        <w:t>超高性能混凝土</w:t>
      </w:r>
      <w:r>
        <w:rPr>
          <w:rFonts w:ascii="Times New Roman" w:hAnsi="Times New Roman" w:cs="Times New Roman"/>
          <w:color w:val="auto"/>
          <w:kern w:val="0"/>
          <w:highlight w:val="none"/>
        </w:rPr>
        <w:t>初凝时，应测读试件长度的初始读数，此后应每隔1h或按设定的时间间隔测定试件的变形读数。</w:t>
      </w:r>
    </w:p>
    <w:p w14:paraId="553B18CC">
      <w:pPr>
        <w:widowControl/>
        <w:kinsoku/>
        <w:overflowPunct/>
        <w:topLinePunct/>
        <w:bidi w:val="0"/>
        <w:adjustRightInd w:val="0"/>
        <w:snapToGrid w:val="0"/>
        <w:spacing w:line="360" w:lineRule="auto"/>
        <w:ind w:firstLine="435"/>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5  在整个测试过程中，试件在测试支架上放置的位置、方向均应始终保持固定不变。</w:t>
      </w:r>
    </w:p>
    <w:p w14:paraId="0F776AA1">
      <w:pPr>
        <w:widowControl/>
        <w:kinsoku/>
        <w:overflowPunct/>
        <w:topLinePunct/>
        <w:bidi w:val="0"/>
        <w:adjustRightInd w:val="0"/>
        <w:snapToGrid w:val="0"/>
        <w:spacing w:line="360" w:lineRule="auto"/>
        <w:rPr>
          <w:rFonts w:ascii="Times New Roman" w:hAnsi="Times New Roman" w:cs="Times New Roman"/>
          <w:color w:val="auto"/>
          <w:kern w:val="0"/>
          <w:highlight w:val="none"/>
        </w:rPr>
      </w:pPr>
      <w:r>
        <w:rPr>
          <w:rFonts w:hint="default" w:ascii="Times New Roman" w:hAnsi="Times New Roman" w:cs="Times New Roman"/>
          <w:color w:val="auto"/>
          <w:kern w:val="0"/>
          <w:highlight w:val="none"/>
          <w:lang w:eastAsia="zh-CN"/>
        </w:rPr>
        <w:t>7</w:t>
      </w:r>
      <w:r>
        <w:rPr>
          <w:rFonts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2</w:t>
      </w:r>
      <w:r>
        <w:rPr>
          <w:rFonts w:ascii="Times New Roman" w:hAnsi="Times New Roman" w:cs="Times New Roman"/>
          <w:color w:val="auto"/>
          <w:kern w:val="0"/>
          <w:highlight w:val="none"/>
        </w:rPr>
        <w:t>.5  试验结果计算</w:t>
      </w:r>
      <w:r>
        <w:rPr>
          <w:rFonts w:hint="default" w:ascii="Times New Roman" w:hAnsi="Times New Roman" w:cs="Times New Roman"/>
          <w:color w:val="auto"/>
          <w:kern w:val="0"/>
          <w:highlight w:val="none"/>
          <w:lang w:val="en-US" w:eastAsia="zh-CN"/>
        </w:rPr>
        <w:t>及</w:t>
      </w:r>
      <w:r>
        <w:rPr>
          <w:rFonts w:ascii="Times New Roman" w:hAnsi="Times New Roman" w:cs="Times New Roman"/>
          <w:color w:val="auto"/>
          <w:kern w:val="0"/>
          <w:highlight w:val="none"/>
        </w:rPr>
        <w:t>处理应符合下列规定：</w:t>
      </w:r>
    </w:p>
    <w:p w14:paraId="0F884272">
      <w:pPr>
        <w:widowControl/>
        <w:kinsoku/>
        <w:overflowPunct/>
        <w:topLinePunct/>
        <w:bidi w:val="0"/>
        <w:adjustRightInd w:val="0"/>
        <w:snapToGrid w:val="0"/>
        <w:spacing w:line="360" w:lineRule="auto"/>
        <w:ind w:firstLine="435"/>
        <w:rPr>
          <w:rFonts w:ascii="Times New Roman" w:hAnsi="Times New Roman" w:cs="Times New Roman"/>
          <w:color w:val="auto"/>
          <w:kern w:val="0"/>
          <w:highlight w:val="none"/>
        </w:rPr>
      </w:pPr>
      <w:r>
        <w:rPr>
          <w:rFonts w:ascii="Times New Roman" w:hAnsi="Times New Roman" w:cs="Times New Roman"/>
          <w:color w:val="auto"/>
          <w:kern w:val="0"/>
          <w:highlight w:val="none"/>
        </w:rPr>
        <w:t xml:space="preserve">1  </w:t>
      </w:r>
      <w:r>
        <w:rPr>
          <w:rFonts w:hint="default" w:ascii="Times New Roman" w:hAnsi="Times New Roman" w:cs="Times New Roman"/>
          <w:color w:val="auto"/>
          <w:kern w:val="0"/>
          <w:highlight w:val="none"/>
          <w:lang w:eastAsia="zh-CN"/>
        </w:rPr>
        <w:t>超高性能混凝土</w:t>
      </w:r>
      <w:r>
        <w:rPr>
          <w:rFonts w:ascii="Times New Roman" w:hAnsi="Times New Roman" w:cs="Times New Roman"/>
          <w:color w:val="auto"/>
          <w:kern w:val="0"/>
          <w:highlight w:val="none"/>
        </w:rPr>
        <w:t>自收缩率应按照下式计算：</w:t>
      </w:r>
    </w:p>
    <w:p w14:paraId="1D034EEC">
      <w:pPr>
        <w:widowControl/>
        <w:kinsoku/>
        <w:wordWrap w:val="0"/>
        <w:overflowPunct/>
        <w:topLinePunct/>
        <w:bidi w:val="0"/>
        <w:adjustRightInd w:val="0"/>
        <w:snapToGrid w:val="0"/>
        <w:spacing w:line="360" w:lineRule="auto"/>
        <w:ind w:firstLine="435"/>
        <w:jc w:val="right"/>
        <w:rPr>
          <w:rFonts w:ascii="Times New Roman" w:hAnsi="Times New Roman" w:cs="Times New Roman"/>
          <w:color w:val="auto"/>
          <w:kern w:val="0"/>
          <w:highlight w:val="none"/>
        </w:rPr>
      </w:pPr>
      <w:r>
        <w:rPr>
          <w:rFonts w:ascii="Times New Roman" w:hAnsi="Times New Roman" w:cs="Times New Roman"/>
          <w:color w:val="auto"/>
          <w:position w:val="-30"/>
          <w:highlight w:val="none"/>
        </w:rPr>
        <w:object>
          <v:shape id="_x0000_i1103" o:spt="75" type="#_x0000_t75" style="height:30.4pt;width:56.9pt;" o:ole="t" filled="f" o:preferrelative="t" stroked="f" coordsize="21600,21600">
            <v:path/>
            <v:fill on="f" focussize="0,0"/>
            <v:stroke on="f"/>
            <v:imagedata r:id="rId204" o:title=""/>
            <o:lock v:ext="edit" aspectratio="t"/>
            <w10:wrap type="none"/>
            <w10:anchorlock/>
          </v:shape>
          <o:OLEObject Type="Embed" ProgID="Equation.DSMT4" ShapeID="_x0000_i1103" DrawAspect="Content" ObjectID="_1468075803" r:id="rId203">
            <o:LockedField>false</o:LockedField>
          </o:OLEObject>
        </w:object>
      </w:r>
      <w:r>
        <w:rPr>
          <w:rFonts w:hint="default" w:ascii="Times New Roman" w:hAnsi="Times New Roman" w:cs="Times New Roman"/>
          <w:color w:val="auto"/>
          <w:highlight w:val="none"/>
        </w:rPr>
        <w:t xml:space="preserve">                         </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7</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2</w:t>
      </w:r>
      <w:r>
        <w:rPr>
          <w:rFonts w:ascii="Times New Roman" w:hAnsi="Times New Roman" w:cs="Times New Roman"/>
          <w:color w:val="auto"/>
          <w:szCs w:val="21"/>
          <w:highlight w:val="none"/>
        </w:rPr>
        <w:t>.5）</w:t>
      </w:r>
    </w:p>
    <w:p w14:paraId="5DC33A5B">
      <w:pPr>
        <w:kinsoku/>
        <w:overflowPunct/>
        <w:bidi w:val="0"/>
        <w:spacing w:line="360" w:lineRule="auto"/>
        <w:rPr>
          <w:rFonts w:ascii="Times New Roman" w:hAnsi="Times New Roman" w:cs="Times New Roman"/>
          <w:color w:val="auto"/>
          <w:highlight w:val="none"/>
        </w:rPr>
      </w:pPr>
      <w:r>
        <w:rPr>
          <w:rFonts w:ascii="Times New Roman" w:hAnsi="Times New Roman" w:cs="Times New Roman"/>
          <w:color w:val="auto"/>
          <w:highlight w:val="none"/>
        </w:rPr>
        <w:t>式中：</w:t>
      </w:r>
      <w:r>
        <w:rPr>
          <w:rFonts w:ascii="Times New Roman" w:hAnsi="Times New Roman" w:cs="Times New Roman"/>
          <w:color w:val="auto"/>
          <w:position w:val="-12"/>
          <w:highlight w:val="none"/>
        </w:rPr>
        <w:object>
          <v:shape id="_x0000_i1104" o:spt="75" type="#_x0000_t75" style="height:18.5pt;width:17.7pt;" o:ole="t" filled="f" o:preferrelative="t" stroked="f" coordsize="21600,21600">
            <v:path/>
            <v:fill on="f" focussize="0,0"/>
            <v:stroke on="f"/>
            <v:imagedata r:id="rId206" o:title=""/>
            <o:lock v:ext="edit" aspectratio="t"/>
            <w10:wrap type="none"/>
            <w10:anchorlock/>
          </v:shape>
          <o:OLEObject Type="Embed" ProgID="Equation.DSMT4" ShapeID="_x0000_i1104" DrawAspect="Content" ObjectID="_1468075804" r:id="rId205">
            <o:LockedField>false</o:LockedField>
          </o:OLEObject>
        </w:object>
      </w:r>
      <w:r>
        <w:rPr>
          <w:rFonts w:ascii="Times New Roman" w:hAnsi="Times New Roman" w:cs="Times New Roman"/>
          <w:color w:val="auto"/>
          <w:highlight w:val="none"/>
        </w:rPr>
        <w:t>——</w:t>
      </w:r>
      <w:r>
        <w:rPr>
          <w:rFonts w:hint="default" w:ascii="Times New Roman" w:hAnsi="Times New Roman" w:cs="Times New Roman"/>
          <w:color w:val="auto"/>
          <w:highlight w:val="none"/>
        </w:rPr>
        <w:t>测试</w:t>
      </w:r>
      <w:r>
        <w:rPr>
          <w:rFonts w:ascii="Times New Roman" w:hAnsi="Times New Roman" w:cs="Times New Roman"/>
          <w:color w:val="auto"/>
          <w:highlight w:val="none"/>
        </w:rPr>
        <w:t>期为</w:t>
      </w:r>
      <w:r>
        <w:rPr>
          <w:rFonts w:ascii="Times New Roman" w:hAnsi="Times New Roman" w:cs="Times New Roman"/>
          <w:color w:val="auto"/>
          <w:position w:val="-10"/>
          <w:highlight w:val="none"/>
        </w:rPr>
        <w:object>
          <v:shape id="_x0000_i1105" o:spt="75" type="#_x0000_t75" style="height:15.8pt;width:21.95pt;" o:ole="t" filled="f" o:preferrelative="t" stroked="f" coordsize="21600,21600">
            <v:path/>
            <v:fill on="f" focussize="0,0"/>
            <v:stroke on="f"/>
            <v:imagedata r:id="rId208" o:title=""/>
            <o:lock v:ext="edit" aspectratio="t"/>
            <w10:wrap type="none"/>
            <w10:anchorlock/>
          </v:shape>
          <o:OLEObject Type="Embed" ProgID="Equation.DSMT4" ShapeID="_x0000_i1105" DrawAspect="Content" ObjectID="_1468075805" r:id="rId207">
            <o:LockedField>false</o:LockedField>
          </o:OLEObject>
        </w:object>
      </w:r>
      <w:r>
        <w:rPr>
          <w:rFonts w:ascii="Times New Roman" w:hAnsi="Times New Roman" w:cs="Times New Roman"/>
          <w:color w:val="auto"/>
          <w:highlight w:val="none"/>
        </w:rPr>
        <w:t>的</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自收缩率，</w:t>
      </w:r>
      <w:r>
        <w:rPr>
          <w:rFonts w:ascii="Times New Roman" w:hAnsi="Times New Roman" w:cs="Times New Roman"/>
          <w:color w:val="auto"/>
          <w:position w:val="-6"/>
          <w:highlight w:val="none"/>
        </w:rPr>
        <w:object>
          <v:shape id="_x0000_i1106" o:spt="75" type="#_x0000_t75" style="height:11.55pt;width:6.55pt;" o:ole="t" filled="f" o:preferrelative="t" stroked="f" coordsize="21600,21600">
            <v:path/>
            <v:fill on="f" focussize="0,0"/>
            <v:stroke on="f"/>
            <v:imagedata r:id="rId210" o:title=""/>
            <o:lock v:ext="edit" aspectratio="t"/>
            <w10:wrap type="none"/>
            <w10:anchorlock/>
          </v:shape>
          <o:OLEObject Type="Embed" ProgID="Equation.DSMT4" ShapeID="_x0000_i1106" DrawAspect="Content" ObjectID="_1468075806" r:id="rId209">
            <o:LockedField>false</o:LockedField>
          </o:OLEObject>
        </w:object>
      </w:r>
      <w:r>
        <w:rPr>
          <w:rFonts w:ascii="Times New Roman" w:hAnsi="Times New Roman" w:cs="Times New Roman"/>
          <w:color w:val="auto"/>
          <w:highlight w:val="none"/>
        </w:rPr>
        <w:t>从测定初始长度时算起；</w:t>
      </w:r>
    </w:p>
    <w:p w14:paraId="2E882AE7">
      <w:pPr>
        <w:kinsoku/>
        <w:overflowPunct/>
        <w:bidi w:val="0"/>
        <w:spacing w:line="360" w:lineRule="auto"/>
        <w:ind w:left="1466" w:leftChars="358" w:hanging="714" w:hangingChars="340"/>
        <w:rPr>
          <w:rFonts w:ascii="Times New Roman" w:hAnsi="Times New Roman" w:cs="Times New Roman"/>
          <w:color w:val="auto"/>
          <w:highlight w:val="none"/>
        </w:rPr>
      </w:pPr>
      <w:r>
        <w:rPr>
          <w:rFonts w:ascii="Times New Roman" w:hAnsi="Times New Roman" w:cs="Times New Roman"/>
          <w:color w:val="auto"/>
          <w:position w:val="-12"/>
          <w:highlight w:val="none"/>
        </w:rPr>
        <w:object>
          <v:shape id="_x0000_i1107" o:spt="75" type="#_x0000_t75" style="height:15.05pt;width:11.55pt;" o:ole="t" filled="f" o:preferrelative="t" stroked="f" coordsize="21600,21600">
            <v:path/>
            <v:fill on="f" focussize="0,0"/>
            <v:stroke on="f"/>
            <v:imagedata r:id="rId212" o:title=""/>
            <o:lock v:ext="edit" aspectratio="t"/>
            <w10:wrap type="none"/>
            <w10:anchorlock/>
          </v:shape>
          <o:OLEObject Type="Embed" ProgID="Equation.DSMT4" ShapeID="_x0000_i1107" DrawAspect="Content" ObjectID="_1468075807" r:id="rId211">
            <o:LockedField>false</o:LockedField>
          </o:OLEObject>
        </w:object>
      </w:r>
      <w:r>
        <w:rPr>
          <w:rFonts w:ascii="Times New Roman" w:hAnsi="Times New Roman" w:cs="Times New Roman"/>
          <w:color w:val="auto"/>
          <w:highlight w:val="none"/>
        </w:rPr>
        <w:t>——试件的有效长度（mm），</w:t>
      </w:r>
      <w:r>
        <w:rPr>
          <w:rFonts w:hint="default" w:ascii="Times New Roman" w:hAnsi="Times New Roman" w:cs="Times New Roman"/>
          <w:color w:val="auto"/>
          <w:highlight w:val="none"/>
          <w:lang w:val="en-US" w:eastAsia="zh-CN"/>
        </w:rPr>
        <w:t>为</w:t>
      </w:r>
      <w:r>
        <w:rPr>
          <w:rFonts w:ascii="Times New Roman" w:hAnsi="Times New Roman" w:cs="Times New Roman"/>
          <w:color w:val="auto"/>
          <w:highlight w:val="none"/>
        </w:rPr>
        <w:t>试件的测量标距减去两个密封端塞的长度；</w:t>
      </w:r>
    </w:p>
    <w:p w14:paraId="5E5DE38A">
      <w:pPr>
        <w:widowControl/>
        <w:kinsoku/>
        <w:overflowPunct/>
        <w:topLinePunct/>
        <w:bidi w:val="0"/>
        <w:adjustRightInd w:val="0"/>
        <w:snapToGrid w:val="0"/>
        <w:spacing w:line="360" w:lineRule="auto"/>
        <w:ind w:firstLine="735" w:firstLineChars="350"/>
        <w:rPr>
          <w:rFonts w:ascii="Times New Roman" w:hAnsi="Times New Roman" w:cs="Times New Roman"/>
          <w:color w:val="auto"/>
          <w:kern w:val="0"/>
          <w:szCs w:val="21"/>
          <w:highlight w:val="none"/>
        </w:rPr>
      </w:pPr>
      <w:r>
        <w:rPr>
          <w:rFonts w:ascii="Times New Roman" w:hAnsi="Times New Roman" w:cs="Times New Roman"/>
          <w:color w:val="auto"/>
          <w:position w:val="-12"/>
          <w:highlight w:val="none"/>
        </w:rPr>
        <w:object>
          <v:shape id="_x0000_i1108" o:spt="75" type="#_x0000_t75" style="height:14.75pt;width:11.3pt;" o:ole="t" filled="f" o:preferrelative="t" stroked="f" coordsize="21600,21600">
            <v:path/>
            <v:fill on="f" focussize="0,0"/>
            <v:stroke on="f"/>
            <v:imagedata r:id="rId214" o:title=""/>
            <o:lock v:ext="edit" aspectratio="t"/>
            <w10:wrap type="none"/>
            <w10:anchorlock/>
          </v:shape>
          <o:OLEObject Type="Embed" ProgID="Equation.DSMT4" ShapeID="_x0000_i1108" DrawAspect="Content" ObjectID="_1468075808" r:id="rId213">
            <o:LockedField>false</o:LockedField>
          </o:OLEObject>
        </w:object>
      </w:r>
      <w:r>
        <w:rPr>
          <w:rFonts w:ascii="Times New Roman" w:hAnsi="Times New Roman" w:cs="Times New Roman"/>
          <w:color w:val="auto"/>
          <w:kern w:val="0"/>
          <w:szCs w:val="21"/>
          <w:highlight w:val="none"/>
        </w:rPr>
        <w:t>——初凝时试件长度的初始读数（mm）；</w:t>
      </w:r>
    </w:p>
    <w:p w14:paraId="0069C66E">
      <w:pPr>
        <w:widowControl/>
        <w:kinsoku/>
        <w:overflowPunct/>
        <w:topLinePunct/>
        <w:bidi w:val="0"/>
        <w:adjustRightInd w:val="0"/>
        <w:snapToGrid w:val="0"/>
        <w:spacing w:line="360" w:lineRule="auto"/>
        <w:ind w:firstLine="735" w:firstLineChars="350"/>
        <w:rPr>
          <w:rFonts w:ascii="Times New Roman" w:hAnsi="Times New Roman" w:cs="Times New Roman"/>
          <w:color w:val="auto"/>
          <w:kern w:val="0"/>
          <w:highlight w:val="none"/>
        </w:rPr>
      </w:pPr>
      <w:r>
        <w:rPr>
          <w:rFonts w:ascii="Times New Roman" w:hAnsi="Times New Roman" w:cs="Times New Roman"/>
          <w:color w:val="auto"/>
          <w:position w:val="-12"/>
          <w:highlight w:val="none"/>
        </w:rPr>
        <w:object>
          <v:shape id="_x0000_i1109" o:spt="75" type="#_x0000_t75" style="height:17.4pt;width:11.9pt;" o:ole="t" filled="f" o:preferrelative="t" stroked="f" coordsize="21600,21600">
            <v:path/>
            <v:fill on="f" focussize="0,0"/>
            <v:stroke on="f"/>
            <v:imagedata r:id="rId216" o:title=""/>
            <o:lock v:ext="edit" aspectratio="t"/>
            <w10:wrap type="none"/>
            <w10:anchorlock/>
          </v:shape>
          <o:OLEObject Type="Embed" ProgID="Equation.DSMT4" ShapeID="_x0000_i1109" DrawAspect="Content" ObjectID="_1468075809" r:id="rId215">
            <o:LockedField>false</o:LockedField>
          </o:OLEObject>
        </w:object>
      </w:r>
      <w:r>
        <w:rPr>
          <w:rFonts w:ascii="Times New Roman" w:hAnsi="Times New Roman" w:cs="Times New Roman"/>
          <w:color w:val="auto"/>
          <w:kern w:val="0"/>
          <w:szCs w:val="21"/>
          <w:highlight w:val="none"/>
        </w:rPr>
        <w:t>——试件在试验期为</w:t>
      </w:r>
      <w:r>
        <w:rPr>
          <w:rFonts w:ascii="Times New Roman" w:hAnsi="Times New Roman" w:cs="Times New Roman"/>
          <w:color w:val="auto"/>
          <w:position w:val="-10"/>
          <w:highlight w:val="none"/>
        </w:rPr>
        <w:object>
          <v:shape id="_x0000_i1110" o:spt="75" type="#_x0000_t75" style="height:15.8pt;width:21.95pt;" o:ole="t" filled="f" o:preferrelative="t" stroked="f" coordsize="21600,21600">
            <v:path/>
            <v:fill on="f" focussize="0,0"/>
            <v:stroke on="f"/>
            <v:imagedata r:id="rId208" o:title=""/>
            <o:lock v:ext="edit" aspectratio="t"/>
            <w10:wrap type="none"/>
            <w10:anchorlock/>
          </v:shape>
          <o:OLEObject Type="Embed" ProgID="Equation.DSMT4" ShapeID="_x0000_i1110" DrawAspect="Content" ObjectID="_1468075810" r:id="rId217">
            <o:LockedField>false</o:LockedField>
          </o:OLEObject>
        </w:object>
      </w:r>
      <w:r>
        <w:rPr>
          <w:rFonts w:ascii="Times New Roman" w:hAnsi="Times New Roman" w:cs="Times New Roman"/>
          <w:color w:val="auto"/>
          <w:kern w:val="0"/>
          <w:szCs w:val="21"/>
          <w:highlight w:val="none"/>
        </w:rPr>
        <w:t>时测得的长度读数（mm）。</w:t>
      </w:r>
    </w:p>
    <w:p w14:paraId="50866663">
      <w:pPr>
        <w:numPr>
          <w:ilvl w:val="0"/>
          <w:numId w:val="0"/>
        </w:numPr>
        <w:kinsoku/>
        <w:overflowPunct/>
        <w:bidi w:val="0"/>
        <w:spacing w:line="360" w:lineRule="auto"/>
        <w:outlineLvl w:val="9"/>
        <w:rPr>
          <w:rFonts w:ascii="Times New Roman" w:hAnsi="Times New Roman" w:cs="Times New Roman"/>
          <w:color w:val="auto"/>
          <w:highlight w:val="none"/>
        </w:rPr>
      </w:pPr>
      <w:r>
        <w:rPr>
          <w:rFonts w:ascii="Times New Roman" w:hAnsi="Times New Roman" w:cs="Times New Roman"/>
          <w:color w:val="auto"/>
          <w:kern w:val="0"/>
          <w:highlight w:val="none"/>
        </w:rPr>
        <w:t xml:space="preserve">2  </w:t>
      </w:r>
      <w:r>
        <w:rPr>
          <w:rFonts w:ascii="Times New Roman" w:hAnsi="Times New Roman" w:cs="Times New Roman"/>
          <w:color w:val="auto"/>
          <w:highlight w:val="none"/>
        </w:rPr>
        <w:t>每组应取3个波纹管试件测试结果的算术平均值作为该组试件的早龄期自收缩</w:t>
      </w:r>
      <w:r>
        <w:rPr>
          <w:rFonts w:hint="default" w:ascii="Times New Roman" w:hAnsi="Times New Roman" w:cs="Times New Roman"/>
          <w:color w:val="auto"/>
          <w:highlight w:val="none"/>
          <w:lang w:val="en-US" w:eastAsia="zh-CN"/>
        </w:rPr>
        <w:t>率</w:t>
      </w:r>
      <w:r>
        <w:rPr>
          <w:rFonts w:ascii="Times New Roman" w:hAnsi="Times New Roman" w:cs="Times New Roman"/>
          <w:color w:val="auto"/>
          <w:highlight w:val="none"/>
        </w:rPr>
        <w:t>测定值，计算应精确</w:t>
      </w:r>
      <w:r>
        <w:rPr>
          <w:rFonts w:hint="default" w:ascii="Times New Roman" w:hAnsi="Times New Roman" w:cs="Times New Roman"/>
          <w:color w:val="auto"/>
          <w:highlight w:val="none"/>
          <w:lang w:val="en-US" w:eastAsia="zh-CN"/>
        </w:rPr>
        <w:t>至</w:t>
      </w:r>
      <w:r>
        <w:rPr>
          <w:rFonts w:ascii="Times New Roman" w:hAnsi="Times New Roman" w:cs="Times New Roman"/>
          <w:color w:val="auto"/>
          <w:highlight w:val="none"/>
        </w:rPr>
        <w:t>1.0×10</w:t>
      </w:r>
      <w:r>
        <w:rPr>
          <w:rFonts w:ascii="Times New Roman" w:hAnsi="Times New Roman" w:cs="Times New Roman"/>
          <w:color w:val="auto"/>
          <w:highlight w:val="none"/>
          <w:vertAlign w:val="superscript"/>
        </w:rPr>
        <w:t>-6</w:t>
      </w:r>
      <w:r>
        <w:rPr>
          <w:rFonts w:ascii="Times New Roman" w:hAnsi="Times New Roman" w:cs="Times New Roman"/>
          <w:color w:val="auto"/>
          <w:highlight w:val="none"/>
        </w:rPr>
        <w:t>。</w:t>
      </w:r>
      <w:r>
        <w:rPr>
          <w:rFonts w:ascii="Times New Roman" w:hAnsi="Times New Roman" w:cs="Times New Roman"/>
          <w:color w:val="auto"/>
          <w:szCs w:val="21"/>
          <w:highlight w:val="none"/>
        </w:rPr>
        <w:t>当最大值或最小值与中间值之差超过中间值的15%时，应剔除此值，再取其余两值的平均值作为测定值；当最大值和最小值均超过中间值的15%时，应取中间值作为测定值。</w:t>
      </w:r>
      <w:r>
        <w:rPr>
          <w:rFonts w:ascii="Times New Roman" w:hAnsi="Times New Roman" w:cs="Times New Roman"/>
          <w:color w:val="auto"/>
          <w:highlight w:val="none"/>
        </w:rPr>
        <w:t>作为</w:t>
      </w:r>
      <w:r>
        <w:rPr>
          <w:rFonts w:hint="default" w:ascii="Times New Roman" w:hAnsi="Times New Roman" w:cs="Times New Roman"/>
          <w:color w:val="auto"/>
          <w:highlight w:val="none"/>
          <w:lang w:val="en-US" w:eastAsia="zh-CN"/>
        </w:rPr>
        <w:t>对照的</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早龄期自收缩</w:t>
      </w:r>
      <w:r>
        <w:rPr>
          <w:rFonts w:hint="default" w:ascii="Times New Roman" w:hAnsi="Times New Roman" w:cs="Times New Roman"/>
          <w:color w:val="auto"/>
          <w:highlight w:val="none"/>
          <w:lang w:val="en-US" w:eastAsia="zh-CN"/>
        </w:rPr>
        <w:t>率</w:t>
      </w:r>
      <w:r>
        <w:rPr>
          <w:rFonts w:ascii="Times New Roman" w:hAnsi="Times New Roman" w:cs="Times New Roman"/>
          <w:color w:val="auto"/>
          <w:highlight w:val="none"/>
        </w:rPr>
        <w:t>应以</w:t>
      </w:r>
      <w:r>
        <w:rPr>
          <w:rFonts w:hint="default" w:ascii="Times New Roman" w:hAnsi="Times New Roman" w:cs="Times New Roman"/>
          <w:color w:val="auto"/>
          <w:highlight w:val="none"/>
        </w:rPr>
        <w:t>7</w:t>
      </w:r>
      <w:r>
        <w:rPr>
          <w:rFonts w:ascii="Times New Roman" w:hAnsi="Times New Roman" w:cs="Times New Roman"/>
          <w:color w:val="auto"/>
          <w:highlight w:val="none"/>
        </w:rPr>
        <w:t>d龄期</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收缩</w:t>
      </w:r>
      <w:r>
        <w:rPr>
          <w:rFonts w:hint="default" w:ascii="Times New Roman" w:hAnsi="Times New Roman" w:cs="Times New Roman"/>
          <w:color w:val="auto"/>
          <w:highlight w:val="none"/>
          <w:lang w:val="en-US" w:eastAsia="zh-CN"/>
        </w:rPr>
        <w:t>率</w:t>
      </w:r>
      <w:r>
        <w:rPr>
          <w:rFonts w:ascii="Times New Roman" w:hAnsi="Times New Roman" w:cs="Times New Roman"/>
          <w:color w:val="auto"/>
          <w:highlight w:val="none"/>
        </w:rPr>
        <w:t>为准。</w:t>
      </w:r>
    </w:p>
    <w:p w14:paraId="4F541C9A">
      <w:pPr>
        <w:numPr>
          <w:ilvl w:val="0"/>
          <w:numId w:val="0"/>
        </w:numPr>
        <w:kinsoku/>
        <w:overflowPunct/>
        <w:bidi w:val="0"/>
        <w:spacing w:line="360" w:lineRule="auto"/>
        <w:outlineLvl w:val="1"/>
        <w:rPr>
          <w:rFonts w:hint="default" w:ascii="Times New Roman" w:hAnsi="Times New Roman" w:eastAsia="黑体" w:cs="Times New Roman"/>
          <w:b w:val="0"/>
          <w:bCs w:val="0"/>
          <w:i/>
          <w:iCs/>
          <w:color w:val="auto"/>
          <w:sz w:val="21"/>
          <w:szCs w:val="21"/>
          <w:highlight w:val="none"/>
          <w:lang w:val="en-US" w:eastAsia="zh-CN" w:bidi="ar-SA"/>
        </w:rPr>
      </w:pPr>
      <w:bookmarkStart w:id="119" w:name="_Toc17047"/>
      <w:r>
        <w:rPr>
          <w:rFonts w:hint="default" w:ascii="Times New Roman" w:hAnsi="Times New Roman" w:eastAsia="黑体" w:cs="Times New Roman"/>
          <w:b w:val="0"/>
          <w:bCs w:val="0"/>
          <w:color w:val="auto"/>
          <w:kern w:val="2"/>
          <w:sz w:val="21"/>
          <w:szCs w:val="21"/>
          <w:highlight w:val="none"/>
          <w:lang w:val="en-US" w:eastAsia="zh-CN" w:bidi="ar-SA"/>
        </w:rPr>
        <w:t>7.</w:t>
      </w:r>
      <w:r>
        <w:rPr>
          <w:rFonts w:hint="default" w:ascii="Times New Roman" w:hAnsi="Times New Roman" w:cs="Times New Roman"/>
          <w:b w:val="0"/>
          <w:bCs w:val="0"/>
          <w:color w:val="auto"/>
          <w:kern w:val="2"/>
          <w:sz w:val="21"/>
          <w:szCs w:val="21"/>
          <w:highlight w:val="none"/>
          <w:lang w:val="en-US" w:eastAsia="zh-CN" w:bidi="ar-SA"/>
        </w:rPr>
        <w:t>3</w:t>
      </w:r>
      <w:r>
        <w:rPr>
          <w:rFonts w:hint="default" w:ascii="Times New Roman" w:hAnsi="Times New Roman" w:eastAsia="黑体" w:cs="Times New Roman"/>
          <w:b w:val="0"/>
          <w:bCs w:val="0"/>
          <w:color w:val="auto"/>
          <w:kern w:val="2"/>
          <w:sz w:val="21"/>
          <w:szCs w:val="21"/>
          <w:highlight w:val="none"/>
          <w:lang w:val="en-US" w:eastAsia="zh-CN" w:bidi="ar-SA"/>
        </w:rPr>
        <w:t xml:space="preserve">  </w:t>
      </w:r>
      <w:r>
        <w:rPr>
          <w:rFonts w:hint="default" w:ascii="Times New Roman" w:hAnsi="Times New Roman" w:eastAsia="黑体" w:cs="Times New Roman"/>
          <w:b w:val="0"/>
          <w:bCs w:val="0"/>
          <w:color w:val="auto"/>
          <w:sz w:val="21"/>
          <w:szCs w:val="21"/>
          <w:highlight w:val="none"/>
          <w:lang w:val="en-US" w:eastAsia="zh-CN" w:bidi="ar-SA"/>
        </w:rPr>
        <w:t>接</w:t>
      </w:r>
      <w:r>
        <w:rPr>
          <w:rFonts w:hint="default" w:ascii="Times New Roman" w:hAnsi="Times New Roman" w:eastAsia="黑体" w:cs="Times New Roman"/>
          <w:b w:val="0"/>
          <w:bCs w:val="0"/>
          <w:color w:val="auto"/>
          <w:kern w:val="2"/>
          <w:sz w:val="21"/>
          <w:szCs w:val="21"/>
          <w:highlight w:val="none"/>
          <w:lang w:val="en-US" w:eastAsia="zh-CN" w:bidi="ar-SA"/>
        </w:rPr>
        <w:t>触法干燥收缩试验</w:t>
      </w:r>
      <w:bookmarkEnd w:id="119"/>
    </w:p>
    <w:p w14:paraId="70202FBB">
      <w:pPr>
        <w:widowControl/>
        <w:numPr>
          <w:ilvl w:val="0"/>
          <w:numId w:val="0"/>
        </w:numPr>
        <w:kinsoku/>
        <w:overflowPunct/>
        <w:bidi w:val="0"/>
        <w:adjustRightInd/>
        <w:spacing w:line="360" w:lineRule="auto"/>
        <w:ind w:firstLine="0"/>
        <w:jc w:val="left"/>
        <w:rPr>
          <w:rFonts w:hint="default" w:ascii="Times New Roman" w:hAnsi="Times New Roman" w:eastAsia="宋体" w:cs="Times New Roman"/>
          <w:bCs w:val="0"/>
          <w:color w:val="auto"/>
          <w:szCs w:val="21"/>
          <w:highlight w:val="none"/>
        </w:rPr>
      </w:pPr>
      <w:r>
        <w:rPr>
          <w:rFonts w:hint="default" w:ascii="Times New Roman" w:hAnsi="Times New Roman" w:cs="Times New Roman"/>
          <w:bCs w:val="0"/>
          <w:color w:val="auto"/>
          <w:szCs w:val="21"/>
          <w:highlight w:val="none"/>
          <w:lang w:eastAsia="zh-CN"/>
        </w:rPr>
        <w:t>7.3</w:t>
      </w:r>
      <w:r>
        <w:rPr>
          <w:rFonts w:hint="default" w:ascii="Times New Roman" w:hAnsi="Times New Roman" w:eastAsia="宋体" w:cs="Times New Roman"/>
          <w:bCs w:val="0"/>
          <w:color w:val="auto"/>
          <w:szCs w:val="21"/>
          <w:highlight w:val="none"/>
        </w:rPr>
        <w:t>.1  本方法适用于测定在无约束和规定温湿度条件下硬化</w:t>
      </w:r>
      <w:r>
        <w:rPr>
          <w:rFonts w:hint="default" w:ascii="Times New Roman" w:hAnsi="Times New Roman" w:cs="Times New Roman"/>
          <w:bCs w:val="0"/>
          <w:color w:val="auto"/>
          <w:szCs w:val="21"/>
          <w:highlight w:val="none"/>
          <w:lang w:eastAsia="zh-CN"/>
        </w:rPr>
        <w:t>超高性能混凝土</w:t>
      </w:r>
      <w:r>
        <w:rPr>
          <w:rFonts w:hint="default" w:ascii="Times New Roman" w:hAnsi="Times New Roman" w:eastAsia="宋体" w:cs="Times New Roman"/>
          <w:bCs w:val="0"/>
          <w:color w:val="auto"/>
          <w:szCs w:val="21"/>
          <w:highlight w:val="none"/>
        </w:rPr>
        <w:t>试件的收缩变形性能。</w:t>
      </w:r>
    </w:p>
    <w:p w14:paraId="36667C17">
      <w:pPr>
        <w:kinsoku/>
        <w:overflowPunct/>
        <w:bidi w:val="0"/>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7.3</w:t>
      </w:r>
      <w:r>
        <w:rPr>
          <w:rFonts w:hint="default" w:ascii="Times New Roman" w:hAnsi="Times New Roman" w:cs="Times New Roman"/>
          <w:color w:val="auto"/>
          <w:highlight w:val="none"/>
        </w:rPr>
        <w:t>.2  试件和测头应符合下列规定：</w:t>
      </w:r>
    </w:p>
    <w:p w14:paraId="79347B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  本方法应采用尺寸为100mm×100mm×515mm的棱柱体试件。每组应为3个试件。</w:t>
      </w:r>
    </w:p>
    <w:p w14:paraId="7BD4BF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  采用卧式</w:t>
      </w:r>
      <w:r>
        <w:rPr>
          <w:rFonts w:hint="default" w:ascii="Times New Roman" w:hAnsi="Times New Roman" w:cs="Times New Roman"/>
          <w:color w:val="auto"/>
          <w:highlight w:val="none"/>
          <w:lang w:eastAsia="zh-CN"/>
        </w:rPr>
        <w:t>超高性能混凝土</w:t>
      </w:r>
      <w:r>
        <w:rPr>
          <w:rFonts w:hint="default" w:ascii="Times New Roman" w:hAnsi="Times New Roman" w:cs="Times New Roman"/>
          <w:color w:val="auto"/>
          <w:highlight w:val="none"/>
        </w:rPr>
        <w:t>收缩仪时，试件两端应预埋测头或留有埋设测头的凹槽。卧式收缩试验用测头（图</w:t>
      </w:r>
      <w:r>
        <w:rPr>
          <w:rFonts w:hint="default" w:ascii="Times New Roman" w:hAnsi="Times New Roman" w:cs="Times New Roman"/>
          <w:color w:val="auto"/>
          <w:highlight w:val="none"/>
          <w:lang w:eastAsia="zh-CN"/>
        </w:rPr>
        <w:t>7.3</w:t>
      </w:r>
      <w:r>
        <w:rPr>
          <w:rFonts w:hint="default" w:ascii="Times New Roman" w:hAnsi="Times New Roman" w:cs="Times New Roman"/>
          <w:color w:val="auto"/>
          <w:highlight w:val="none"/>
        </w:rPr>
        <w:t>.2-1）应由不锈钢或</w:t>
      </w:r>
      <w:r>
        <w:rPr>
          <w:rFonts w:hint="default" w:ascii="Times New Roman" w:hAnsi="Times New Roman" w:cs="Times New Roman"/>
          <w:color w:val="auto"/>
          <w:highlight w:val="none"/>
          <w:lang w:eastAsia="zh-CN"/>
        </w:rPr>
        <w:t>其他</w:t>
      </w:r>
      <w:r>
        <w:rPr>
          <w:rFonts w:hint="default" w:ascii="Times New Roman" w:hAnsi="Times New Roman" w:cs="Times New Roman"/>
          <w:color w:val="auto"/>
          <w:highlight w:val="none"/>
        </w:rPr>
        <w:t>不锈的材料制成。</w:t>
      </w:r>
    </w:p>
    <w:p w14:paraId="14E2ED01">
      <w:pPr>
        <w:widowControl/>
        <w:kinsoku/>
        <w:overflowPunct/>
        <w:topLinePunct/>
        <w:bidi w:val="0"/>
        <w:adjustRightInd w:val="0"/>
        <w:snapToGrid w:val="0"/>
        <w:spacing w:line="360" w:lineRule="auto"/>
        <w:jc w:val="center"/>
        <w:rPr>
          <w:rFonts w:ascii="Times New Roman" w:hAnsi="Times New Roman" w:cs="Times New Roman"/>
          <w:color w:val="auto"/>
          <w:kern w:val="0"/>
          <w:highlight w:val="none"/>
        </w:rPr>
      </w:pPr>
      <w:r>
        <w:rPr>
          <w:rFonts w:ascii="Times New Roman" w:hAnsi="Times New Roman" w:cs="Times New Roman"/>
          <w:color w:val="auto"/>
          <w:highlight w:val="none"/>
        </w:rPr>
        <w:drawing>
          <wp:inline distT="0" distB="0" distL="114300" distR="114300">
            <wp:extent cx="4299585" cy="3581400"/>
            <wp:effectExtent l="0" t="0" r="0" b="0"/>
            <wp:docPr id="15" name="图片 3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5" descr="12"/>
                    <pic:cNvPicPr>
                      <a:picLocks noChangeAspect="1"/>
                    </pic:cNvPicPr>
                  </pic:nvPicPr>
                  <pic:blipFill>
                    <a:blip r:embed="rId218"/>
                    <a:stretch>
                      <a:fillRect/>
                    </a:stretch>
                  </pic:blipFill>
                  <pic:spPr>
                    <a:xfrm>
                      <a:off x="0" y="0"/>
                      <a:ext cx="4299585" cy="3581400"/>
                    </a:xfrm>
                    <a:prstGeom prst="rect">
                      <a:avLst/>
                    </a:prstGeom>
                    <a:noFill/>
                    <a:ln>
                      <a:noFill/>
                    </a:ln>
                  </pic:spPr>
                </pic:pic>
              </a:graphicData>
            </a:graphic>
          </wp:inline>
        </w:drawing>
      </w:r>
    </w:p>
    <w:p w14:paraId="10687F03">
      <w:pPr>
        <w:kinsoku/>
        <w:overflowPunct/>
        <w:topLinePunct/>
        <w:bidi w:val="0"/>
        <w:adjustRightInd w:val="0"/>
        <w:snapToGrid w:val="0"/>
        <w:spacing w:line="360" w:lineRule="auto"/>
        <w:ind w:firstLine="300" w:firstLineChars="200"/>
        <w:jc w:val="center"/>
        <w:rPr>
          <w:rFonts w:ascii="Times New Roman" w:hAnsi="Times New Roman" w:cs="Times New Roman"/>
          <w:color w:val="auto"/>
          <w:kern w:val="0"/>
          <w:sz w:val="15"/>
          <w:szCs w:val="15"/>
          <w:highlight w:val="none"/>
        </w:rPr>
      </w:pPr>
      <w:r>
        <w:rPr>
          <w:rFonts w:ascii="Times New Roman" w:hAnsi="Times New Roman" w:cs="Times New Roman"/>
          <w:color w:val="auto"/>
          <w:kern w:val="0"/>
          <w:sz w:val="15"/>
          <w:szCs w:val="15"/>
          <w:highlight w:val="none"/>
        </w:rPr>
        <w:t>a 预埋测头；                         b 后埋测头</w:t>
      </w:r>
    </w:p>
    <w:p w14:paraId="07F6F503">
      <w:pPr>
        <w:kinsoku/>
        <w:overflowPunct/>
        <w:topLinePunct/>
        <w:bidi w:val="0"/>
        <w:adjustRightInd w:val="0"/>
        <w:snapToGrid w:val="0"/>
        <w:spacing w:line="360" w:lineRule="auto"/>
        <w:ind w:firstLine="0" w:firstLineChars="0"/>
        <w:jc w:val="center"/>
        <w:rPr>
          <w:rFonts w:ascii="Times New Roman" w:hAnsi="Times New Roman" w:cs="Times New Roman"/>
          <w:color w:val="auto"/>
          <w:kern w:val="0"/>
          <w:sz w:val="15"/>
          <w:szCs w:val="15"/>
          <w:highlight w:val="none"/>
        </w:rPr>
      </w:pPr>
      <w:r>
        <w:rPr>
          <w:rFonts w:ascii="Times New Roman" w:hAnsi="Times New Roman" w:cs="Times New Roman"/>
          <w:color w:val="auto"/>
          <w:kern w:val="0"/>
          <w:sz w:val="18"/>
          <w:szCs w:val="18"/>
          <w:highlight w:val="none"/>
        </w:rPr>
        <w:t>图</w:t>
      </w:r>
      <w:r>
        <w:rPr>
          <w:rFonts w:hint="default" w:ascii="Times New Roman" w:hAnsi="Times New Roman" w:cs="Times New Roman"/>
          <w:color w:val="auto"/>
          <w:kern w:val="0"/>
          <w:sz w:val="18"/>
          <w:szCs w:val="18"/>
          <w:highlight w:val="none"/>
          <w:lang w:eastAsia="zh-CN"/>
        </w:rPr>
        <w:t>7.3</w:t>
      </w:r>
      <w:r>
        <w:rPr>
          <w:rFonts w:ascii="Times New Roman" w:hAnsi="Times New Roman" w:cs="Times New Roman"/>
          <w:color w:val="auto"/>
          <w:kern w:val="0"/>
          <w:sz w:val="18"/>
          <w:szCs w:val="18"/>
          <w:highlight w:val="none"/>
        </w:rPr>
        <w:t>.2-1卧式收缩试验用测头</w:t>
      </w:r>
    </w:p>
    <w:p w14:paraId="4B8C83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  采用立式</w:t>
      </w:r>
      <w:r>
        <w:rPr>
          <w:rFonts w:hint="default" w:ascii="Times New Roman" w:hAnsi="Times New Roman" w:cs="Times New Roman"/>
          <w:color w:val="auto"/>
          <w:highlight w:val="none"/>
          <w:lang w:eastAsia="zh-CN"/>
        </w:rPr>
        <w:t>超高性能混凝土</w:t>
      </w:r>
      <w:r>
        <w:rPr>
          <w:rFonts w:hint="default" w:ascii="Times New Roman" w:hAnsi="Times New Roman" w:cs="Times New Roman"/>
          <w:color w:val="auto"/>
          <w:highlight w:val="none"/>
        </w:rPr>
        <w:t>收缩仪时，试件一端中心应预埋测头（图</w:t>
      </w:r>
      <w:r>
        <w:rPr>
          <w:rFonts w:hint="default" w:ascii="Times New Roman" w:hAnsi="Times New Roman" w:cs="Times New Roman"/>
          <w:color w:val="auto"/>
          <w:highlight w:val="none"/>
          <w:lang w:eastAsia="zh-CN"/>
        </w:rPr>
        <w:t>7.3</w:t>
      </w:r>
      <w:r>
        <w:rPr>
          <w:rFonts w:hint="default" w:ascii="Times New Roman" w:hAnsi="Times New Roman" w:cs="Times New Roman"/>
          <w:color w:val="auto"/>
          <w:highlight w:val="none"/>
        </w:rPr>
        <w:t>.2-2）。立式收缩试验用测头的另外一端宜采用M20mm</w:t>
      </w:r>
      <w:r>
        <w:rPr>
          <w:rFonts w:hint="default" w:ascii="Times New Roman" w:hAnsi="Times New Roman" w:cs="Times New Roman"/>
          <w:color w:val="auto"/>
          <w:highlight w:val="none"/>
        </w:rPr>
        <w:sym w:font="Symbol" w:char="F0B4"/>
      </w:r>
      <w:r>
        <w:rPr>
          <w:rFonts w:hint="default" w:ascii="Times New Roman" w:hAnsi="Times New Roman" w:cs="Times New Roman"/>
          <w:color w:val="auto"/>
          <w:highlight w:val="none"/>
        </w:rPr>
        <w:t>35mm的螺栓，并应与立式</w:t>
      </w:r>
      <w:r>
        <w:rPr>
          <w:rFonts w:hint="default" w:ascii="Times New Roman" w:hAnsi="Times New Roman" w:cs="Times New Roman"/>
          <w:color w:val="auto"/>
          <w:highlight w:val="none"/>
          <w:lang w:eastAsia="zh-CN"/>
        </w:rPr>
        <w:t>超高性能混凝土</w:t>
      </w:r>
      <w:r>
        <w:rPr>
          <w:rFonts w:hint="default" w:ascii="Times New Roman" w:hAnsi="Times New Roman" w:cs="Times New Roman"/>
          <w:color w:val="auto"/>
          <w:highlight w:val="none"/>
        </w:rPr>
        <w:t>收缩仪底座固定。螺栓和测头都应预埋进去。</w:t>
      </w:r>
    </w:p>
    <w:p w14:paraId="220B93DD">
      <w:pPr>
        <w:widowControl/>
        <w:kinsoku/>
        <w:overflowPunct/>
        <w:topLinePunct/>
        <w:bidi w:val="0"/>
        <w:adjustRightInd w:val="0"/>
        <w:snapToGrid w:val="0"/>
        <w:spacing w:line="36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drawing>
          <wp:inline distT="0" distB="0" distL="114300" distR="114300">
            <wp:extent cx="1921510" cy="3641090"/>
            <wp:effectExtent l="0" t="0" r="0" b="0"/>
            <wp:docPr id="18" name="图片 3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descr="13"/>
                    <pic:cNvPicPr>
                      <a:picLocks noChangeAspect="1"/>
                    </pic:cNvPicPr>
                  </pic:nvPicPr>
                  <pic:blipFill>
                    <a:blip r:embed="rId219"/>
                    <a:stretch>
                      <a:fillRect/>
                    </a:stretch>
                  </pic:blipFill>
                  <pic:spPr>
                    <a:xfrm>
                      <a:off x="0" y="0"/>
                      <a:ext cx="1921510" cy="3641090"/>
                    </a:xfrm>
                    <a:prstGeom prst="rect">
                      <a:avLst/>
                    </a:prstGeom>
                    <a:noFill/>
                    <a:ln>
                      <a:noFill/>
                    </a:ln>
                  </pic:spPr>
                </pic:pic>
              </a:graphicData>
            </a:graphic>
          </wp:inline>
        </w:drawing>
      </w:r>
    </w:p>
    <w:p w14:paraId="62CF15BC">
      <w:pPr>
        <w:kinsoku/>
        <w:overflowPunct/>
        <w:topLinePunct/>
        <w:bidi w:val="0"/>
        <w:adjustRightInd w:val="0"/>
        <w:snapToGrid w:val="0"/>
        <w:spacing w:line="360" w:lineRule="auto"/>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图</w:t>
      </w:r>
      <w:r>
        <w:rPr>
          <w:rFonts w:hint="default" w:ascii="Times New Roman" w:hAnsi="Times New Roman" w:cs="Times New Roman"/>
          <w:color w:val="auto"/>
          <w:kern w:val="0"/>
          <w:sz w:val="18"/>
          <w:szCs w:val="18"/>
          <w:highlight w:val="none"/>
          <w:lang w:eastAsia="zh-CN"/>
        </w:rPr>
        <w:t>7.3</w:t>
      </w:r>
      <w:r>
        <w:rPr>
          <w:rFonts w:ascii="Times New Roman" w:hAnsi="Times New Roman" w:cs="Times New Roman"/>
          <w:color w:val="auto"/>
          <w:kern w:val="0"/>
          <w:sz w:val="18"/>
          <w:szCs w:val="18"/>
          <w:highlight w:val="none"/>
        </w:rPr>
        <w:t>.2-2  立式收缩试验用测头</w:t>
      </w:r>
    </w:p>
    <w:p w14:paraId="6905B66E">
      <w:pPr>
        <w:kinsoku/>
        <w:overflowPunct/>
        <w:topLinePunct/>
        <w:bidi w:val="0"/>
        <w:adjustRightInd w:val="0"/>
        <w:snapToGrid w:val="0"/>
        <w:spacing w:line="360" w:lineRule="auto"/>
        <w:jc w:val="center"/>
        <w:rPr>
          <w:rFonts w:ascii="Times New Roman" w:hAnsi="Times New Roman" w:cs="Times New Roman"/>
          <w:color w:val="auto"/>
          <w:kern w:val="0"/>
          <w:sz w:val="15"/>
          <w:szCs w:val="15"/>
          <w:highlight w:val="none"/>
        </w:rPr>
      </w:pPr>
    </w:p>
    <w:p w14:paraId="5C9121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  采用接触</w:t>
      </w:r>
      <w:r>
        <w:rPr>
          <w:rFonts w:hint="default" w:ascii="Times New Roman" w:hAnsi="Times New Roman" w:cs="Times New Roman"/>
          <w:color w:val="auto"/>
          <w:highlight w:val="none"/>
          <w:lang w:val="en-US" w:eastAsia="zh-CN"/>
        </w:rPr>
        <w:t>式</w:t>
      </w:r>
      <w:r>
        <w:rPr>
          <w:rFonts w:hint="default" w:ascii="Times New Roman" w:hAnsi="Times New Roman" w:cs="Times New Roman"/>
          <w:color w:val="auto"/>
          <w:highlight w:val="none"/>
        </w:rPr>
        <w:t>引伸仪时，所用试件的长度应比仪器的测量标距长出一个截面边长。测头应粘贴在试件两侧面的轴线上。</w:t>
      </w:r>
    </w:p>
    <w:p w14:paraId="7EC821B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  采用</w:t>
      </w:r>
      <w:r>
        <w:rPr>
          <w:rFonts w:hint="default" w:ascii="Times New Roman" w:hAnsi="Times New Roman" w:cs="Times New Roman"/>
          <w:color w:val="auto"/>
          <w:highlight w:val="none"/>
          <w:lang w:eastAsia="zh-CN"/>
        </w:rPr>
        <w:t>超高性能混凝土</w:t>
      </w:r>
      <w:r>
        <w:rPr>
          <w:rFonts w:hint="default" w:ascii="Times New Roman" w:hAnsi="Times New Roman" w:cs="Times New Roman"/>
          <w:color w:val="auto"/>
          <w:highlight w:val="none"/>
        </w:rPr>
        <w:t>收缩仪时，制作试件的试模应固定测头或预留凹槽的端板。采用接触</w:t>
      </w:r>
      <w:r>
        <w:rPr>
          <w:rFonts w:hint="default" w:ascii="Times New Roman" w:hAnsi="Times New Roman" w:cs="Times New Roman"/>
          <w:color w:val="auto"/>
          <w:highlight w:val="none"/>
          <w:lang w:val="en-US" w:eastAsia="zh-CN"/>
        </w:rPr>
        <w:t>式</w:t>
      </w:r>
      <w:r>
        <w:rPr>
          <w:rFonts w:hint="default" w:ascii="Times New Roman" w:hAnsi="Times New Roman" w:cs="Times New Roman"/>
          <w:color w:val="auto"/>
          <w:highlight w:val="none"/>
        </w:rPr>
        <w:t>引伸仪时，可用一般棱柱体试模制作试件。</w:t>
      </w:r>
    </w:p>
    <w:p w14:paraId="030029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  收缩试件成型时不得使用机油等憎水性脱模剂。试件成型后应带模养护1</w:t>
      </w: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rPr>
        <w:t>，并保证拆模时不损伤试件。对于事先没有埋设测头的试件，拆模后应立即粘</w:t>
      </w:r>
      <w:r>
        <w:rPr>
          <w:rFonts w:hint="default" w:ascii="Times New Roman" w:hAnsi="Times New Roman" w:cs="Times New Roman"/>
          <w:color w:val="auto"/>
          <w:highlight w:val="none"/>
          <w:lang w:val="en-US" w:eastAsia="zh-CN"/>
        </w:rPr>
        <w:t>贴</w:t>
      </w:r>
      <w:r>
        <w:rPr>
          <w:rFonts w:hint="default" w:ascii="Times New Roman" w:hAnsi="Times New Roman" w:cs="Times New Roman"/>
          <w:color w:val="auto"/>
          <w:highlight w:val="none"/>
        </w:rPr>
        <w:t>或埋设测头。试件拆模后，应立即送至温度为（20±2）℃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相对湿度为95%以上的标准养护室养护。</w:t>
      </w:r>
    </w:p>
    <w:p w14:paraId="39D7B565">
      <w:pPr>
        <w:widowControl/>
        <w:numPr>
          <w:ilvl w:val="0"/>
          <w:numId w:val="0"/>
        </w:numPr>
        <w:kinsoku/>
        <w:overflowPunct/>
        <w:bidi w:val="0"/>
        <w:adjustRightInd/>
        <w:spacing w:line="360" w:lineRule="auto"/>
        <w:ind w:firstLine="0"/>
        <w:jc w:val="left"/>
        <w:rPr>
          <w:rFonts w:hint="default" w:ascii="Times New Roman" w:hAnsi="Times New Roman" w:cs="Times New Roman"/>
          <w:bCs w:val="0"/>
          <w:color w:val="auto"/>
          <w:szCs w:val="21"/>
          <w:highlight w:val="none"/>
          <w:lang w:eastAsia="zh-CN"/>
        </w:rPr>
      </w:pPr>
      <w:r>
        <w:rPr>
          <w:rFonts w:hint="default" w:ascii="Times New Roman" w:hAnsi="Times New Roman" w:cs="Times New Roman"/>
          <w:bCs w:val="0"/>
          <w:color w:val="auto"/>
          <w:szCs w:val="21"/>
          <w:highlight w:val="none"/>
          <w:lang w:eastAsia="zh-CN"/>
        </w:rPr>
        <w:t>7.3.3  试验设备应符合下列规定：</w:t>
      </w:r>
    </w:p>
    <w:p w14:paraId="211786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  测量</w:t>
      </w:r>
      <w:r>
        <w:rPr>
          <w:rFonts w:hint="default" w:ascii="Times New Roman" w:hAnsi="Times New Roman" w:cs="Times New Roman"/>
          <w:color w:val="auto"/>
          <w:highlight w:val="none"/>
          <w:lang w:eastAsia="zh-CN"/>
        </w:rPr>
        <w:t>超高性能混凝土</w:t>
      </w:r>
      <w:r>
        <w:rPr>
          <w:rFonts w:hint="default" w:ascii="Times New Roman" w:hAnsi="Times New Roman" w:cs="Times New Roman"/>
          <w:color w:val="auto"/>
          <w:highlight w:val="none"/>
        </w:rPr>
        <w:t>收缩变形的装置应</w:t>
      </w:r>
      <w:r>
        <w:rPr>
          <w:rFonts w:hint="default" w:ascii="Times New Roman" w:hAnsi="Times New Roman" w:cs="Times New Roman"/>
          <w:color w:val="auto"/>
          <w:highlight w:val="none"/>
          <w:lang w:val="en-US" w:eastAsia="zh-CN"/>
        </w:rPr>
        <w:t>配备</w:t>
      </w:r>
      <w:r>
        <w:rPr>
          <w:rFonts w:hint="default" w:ascii="Times New Roman" w:hAnsi="Times New Roman" w:cs="Times New Roman"/>
          <w:color w:val="auto"/>
          <w:highlight w:val="none"/>
        </w:rPr>
        <w:t>硬钢或石英玻璃制作的标准杆，并应在测量前及测量过程中及时校核仪表的读数。</w:t>
      </w:r>
    </w:p>
    <w:p w14:paraId="57D6EF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  收缩测量装置可采用下列形式之一：</w:t>
      </w:r>
    </w:p>
    <w:p w14:paraId="775EAE49">
      <w:pPr>
        <w:keepNext w:val="0"/>
        <w:keepLines w:val="0"/>
        <w:pageBreakBefore w:val="0"/>
        <w:widowControl/>
        <w:kinsoku/>
        <w:wordWrap/>
        <w:overflowPunct/>
        <w:topLinePunct/>
        <w:autoSpaceDE/>
        <w:autoSpaceDN/>
        <w:bidi w:val="0"/>
        <w:adjustRightInd w:val="0"/>
        <w:snapToGrid w:val="0"/>
        <w:spacing w:line="360" w:lineRule="auto"/>
        <w:ind w:left="630" w:leftChars="300"/>
        <w:textAlignment w:val="auto"/>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1）卧式</w:t>
      </w:r>
      <w:r>
        <w:rPr>
          <w:rFonts w:hint="default" w:ascii="Times New Roman" w:hAnsi="Times New Roman" w:cs="Times New Roman"/>
          <w:color w:val="auto"/>
          <w:kern w:val="0"/>
          <w:szCs w:val="21"/>
          <w:highlight w:val="none"/>
          <w:lang w:eastAsia="zh-CN"/>
        </w:rPr>
        <w:t>超高性能混凝土</w:t>
      </w:r>
      <w:r>
        <w:rPr>
          <w:rFonts w:ascii="Times New Roman" w:hAnsi="Times New Roman" w:cs="Times New Roman"/>
          <w:color w:val="auto"/>
          <w:kern w:val="0"/>
          <w:szCs w:val="21"/>
          <w:highlight w:val="none"/>
        </w:rPr>
        <w:t>收缩仪的测量标距应为540mm，并应装有精度为</w:t>
      </w:r>
      <w:r>
        <w:rPr>
          <w:rFonts w:ascii="Times New Roman" w:hAnsi="Times New Roman" w:cs="Times New Roman"/>
          <w:color w:val="auto"/>
          <w:kern w:val="0"/>
          <w:position w:val="-4"/>
          <w:szCs w:val="21"/>
          <w:highlight w:val="none"/>
        </w:rPr>
        <w:object>
          <v:shape id="_x0000_i1111" o:spt="75" type="#_x0000_t75" style="height:11pt;width:10pt;" o:ole="t" filled="f" o:preferrelative="t" stroked="f" coordsize="21600,21600">
            <v:path/>
            <v:fill on="f" alignshape="1" focussize="0,0"/>
            <v:stroke on="f"/>
            <v:imagedata r:id="rId221" o:title=""/>
            <o:lock v:ext="edit" aspectratio="t"/>
            <w10:wrap type="none"/>
            <w10:anchorlock/>
          </v:shape>
          <o:OLEObject Type="Embed" ProgID="Equation.3" ShapeID="_x0000_i1111" DrawAspect="Content" ObjectID="_1468075811" r:id="rId220">
            <o:LockedField>false</o:LockedField>
          </o:OLEObject>
        </w:object>
      </w:r>
      <w:r>
        <w:rPr>
          <w:rFonts w:ascii="Times New Roman" w:hAnsi="Times New Roman" w:cs="Times New Roman"/>
          <w:color w:val="auto"/>
          <w:kern w:val="0"/>
          <w:szCs w:val="21"/>
          <w:highlight w:val="none"/>
        </w:rPr>
        <w:t>0.001mm的千分表或测微器；</w:t>
      </w:r>
    </w:p>
    <w:p w14:paraId="09F9189C">
      <w:pPr>
        <w:keepNext w:val="0"/>
        <w:keepLines w:val="0"/>
        <w:pageBreakBefore w:val="0"/>
        <w:widowControl/>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2）立式</w:t>
      </w:r>
      <w:r>
        <w:rPr>
          <w:rFonts w:hint="default" w:ascii="Times New Roman" w:hAnsi="Times New Roman" w:cs="Times New Roman"/>
          <w:color w:val="auto"/>
          <w:kern w:val="0"/>
          <w:szCs w:val="21"/>
          <w:highlight w:val="none"/>
          <w:lang w:eastAsia="zh-CN"/>
        </w:rPr>
        <w:t>超高性能混凝土</w:t>
      </w:r>
      <w:r>
        <w:rPr>
          <w:rFonts w:ascii="Times New Roman" w:hAnsi="Times New Roman" w:cs="Times New Roman"/>
          <w:color w:val="auto"/>
          <w:kern w:val="0"/>
          <w:szCs w:val="21"/>
          <w:highlight w:val="none"/>
        </w:rPr>
        <w:t>收缩仪的测量标距和测微器</w:t>
      </w:r>
      <w:r>
        <w:rPr>
          <w:rFonts w:hint="default" w:ascii="Times New Roman" w:hAnsi="Times New Roman" w:cs="Times New Roman"/>
          <w:color w:val="auto"/>
          <w:kern w:val="0"/>
          <w:szCs w:val="21"/>
          <w:highlight w:val="none"/>
          <w:lang w:val="en-US" w:eastAsia="zh-CN"/>
        </w:rPr>
        <w:t>应</w:t>
      </w:r>
      <w:r>
        <w:rPr>
          <w:rFonts w:ascii="Times New Roman" w:hAnsi="Times New Roman" w:cs="Times New Roman"/>
          <w:color w:val="auto"/>
          <w:kern w:val="0"/>
          <w:szCs w:val="21"/>
          <w:highlight w:val="none"/>
        </w:rPr>
        <w:t>卧式</w:t>
      </w:r>
      <w:r>
        <w:rPr>
          <w:rFonts w:hint="default" w:ascii="Times New Roman" w:hAnsi="Times New Roman" w:cs="Times New Roman"/>
          <w:color w:val="auto"/>
          <w:kern w:val="0"/>
          <w:szCs w:val="21"/>
          <w:highlight w:val="none"/>
          <w:lang w:eastAsia="zh-CN"/>
        </w:rPr>
        <w:t>超高性能混凝土</w:t>
      </w:r>
      <w:r>
        <w:rPr>
          <w:rFonts w:ascii="Times New Roman" w:hAnsi="Times New Roman" w:cs="Times New Roman"/>
          <w:color w:val="auto"/>
          <w:kern w:val="0"/>
          <w:szCs w:val="21"/>
          <w:highlight w:val="none"/>
        </w:rPr>
        <w:t>收缩仪</w:t>
      </w:r>
      <w:r>
        <w:rPr>
          <w:rFonts w:hint="default" w:ascii="Times New Roman" w:hAnsi="Times New Roman" w:cs="Times New Roman"/>
          <w:color w:val="auto"/>
          <w:kern w:val="0"/>
          <w:szCs w:val="21"/>
          <w:highlight w:val="none"/>
          <w:lang w:val="en-US" w:eastAsia="zh-CN"/>
        </w:rPr>
        <w:t>相同</w:t>
      </w:r>
      <w:r>
        <w:rPr>
          <w:rFonts w:ascii="Times New Roman" w:hAnsi="Times New Roman" w:cs="Times New Roman"/>
          <w:color w:val="auto"/>
          <w:kern w:val="0"/>
          <w:szCs w:val="21"/>
          <w:highlight w:val="none"/>
        </w:rPr>
        <w:t>。</w:t>
      </w:r>
    </w:p>
    <w:p w14:paraId="1DC44529">
      <w:pPr>
        <w:keepNext w:val="0"/>
        <w:keepLines w:val="0"/>
        <w:pageBreakBefore w:val="0"/>
        <w:widowControl/>
        <w:kinsoku/>
        <w:wordWrap/>
        <w:overflowPunct/>
        <w:topLinePunct/>
        <w:autoSpaceDE/>
        <w:autoSpaceDN/>
        <w:bidi w:val="0"/>
        <w:adjustRightInd w:val="0"/>
        <w:snapToGrid w:val="0"/>
        <w:spacing w:line="360" w:lineRule="auto"/>
        <w:ind w:left="630" w:leftChars="300"/>
        <w:textAlignment w:val="auto"/>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3）</w:t>
      </w:r>
      <w:r>
        <w:rPr>
          <w:rFonts w:hint="default" w:ascii="Times New Roman" w:hAnsi="Times New Roman" w:cs="Times New Roman"/>
          <w:color w:val="auto"/>
          <w:kern w:val="0"/>
          <w:szCs w:val="21"/>
          <w:highlight w:val="none"/>
          <w:lang w:eastAsia="zh-CN"/>
        </w:rPr>
        <w:t>其他</w:t>
      </w:r>
      <w:r>
        <w:rPr>
          <w:rFonts w:ascii="Times New Roman" w:hAnsi="Times New Roman" w:cs="Times New Roman"/>
          <w:color w:val="auto"/>
          <w:kern w:val="0"/>
          <w:szCs w:val="21"/>
          <w:highlight w:val="none"/>
        </w:rPr>
        <w:t>形式变形测量仪表的测量标距不应小于100mm及骨料最大粒径的3倍。并应达到0.001mm的测量精度。</w:t>
      </w:r>
    </w:p>
    <w:p w14:paraId="3527ED3B">
      <w:pPr>
        <w:widowControl/>
        <w:numPr>
          <w:ilvl w:val="0"/>
          <w:numId w:val="0"/>
        </w:numPr>
        <w:kinsoku/>
        <w:overflowPunct/>
        <w:bidi w:val="0"/>
        <w:adjustRightInd/>
        <w:spacing w:line="360" w:lineRule="auto"/>
        <w:ind w:firstLine="0"/>
        <w:jc w:val="left"/>
        <w:rPr>
          <w:rFonts w:hint="default" w:ascii="Times New Roman" w:hAnsi="Times New Roman" w:cs="Times New Roman"/>
          <w:bCs w:val="0"/>
          <w:color w:val="auto"/>
          <w:szCs w:val="21"/>
          <w:highlight w:val="none"/>
          <w:lang w:eastAsia="zh-CN"/>
        </w:rPr>
      </w:pPr>
      <w:r>
        <w:rPr>
          <w:rFonts w:hint="default" w:ascii="Times New Roman" w:hAnsi="Times New Roman" w:cs="Times New Roman"/>
          <w:bCs w:val="0"/>
          <w:color w:val="auto"/>
          <w:szCs w:val="21"/>
          <w:highlight w:val="none"/>
          <w:lang w:eastAsia="zh-CN"/>
        </w:rPr>
        <w:t>7.3.4  超高性能混凝土收缩试验应按下列步骤进行：</w:t>
      </w:r>
    </w:p>
    <w:p w14:paraId="0061F4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  收缩试验应在恒温恒湿环境中进行，室温应保持在（20±2）℃，相对湿度应保持在（60±5）%。试件应放置在不吸水的搁架上，底面应架空，试件之间的间隙应大于30mm。</w:t>
      </w:r>
    </w:p>
    <w:p w14:paraId="479766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  试件应在自</w:t>
      </w:r>
      <w:r>
        <w:rPr>
          <w:rFonts w:hint="default" w:ascii="Times New Roman" w:hAnsi="Times New Roman" w:cs="Times New Roman"/>
          <w:color w:val="auto"/>
          <w:highlight w:val="none"/>
          <w:lang w:eastAsia="zh-CN"/>
        </w:rPr>
        <w:t>超高性能混凝土</w:t>
      </w:r>
      <w:r>
        <w:rPr>
          <w:rFonts w:hint="default" w:ascii="Times New Roman" w:hAnsi="Times New Roman" w:cs="Times New Roman"/>
          <w:color w:val="auto"/>
          <w:highlight w:val="none"/>
        </w:rPr>
        <w:t>搅拌加水后的3d龄期时从标准养护室取出，并应立即移入恒温恒湿室测定其初始长度，此后应按下列规定的时间间隔测量其变形：1d、3d、7d、14d、28d、45d、60d、90d、120d、150d、180d、360d。</w:t>
      </w:r>
    </w:p>
    <w:p w14:paraId="2258A3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  对非标准养护试件，当需要移入恒温恒湿室进行试验时，应先在该室内预置4</w:t>
      </w:r>
      <w:r>
        <w:rPr>
          <w:rFonts w:hint="default" w:ascii="Times New Roman" w:hAnsi="Times New Roman" w:cs="Times New Roman"/>
          <w:color w:val="auto"/>
          <w:highlight w:val="none"/>
          <w:lang w:val="en-US" w:eastAsia="zh-CN"/>
        </w:rPr>
        <w:t>h</w:t>
      </w:r>
      <w:r>
        <w:rPr>
          <w:rFonts w:hint="default" w:ascii="Times New Roman" w:hAnsi="Times New Roman" w:cs="Times New Roman"/>
          <w:color w:val="auto"/>
          <w:highlight w:val="none"/>
        </w:rPr>
        <w:t>，再测其初始值。测量时应记下试件的初始干湿状态。</w:t>
      </w:r>
    </w:p>
    <w:p w14:paraId="73D637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  收缩测量前应先用标准杆校正仪表的零点，并应在测定过程中再复核1次～2次，其中一次应在全部试件测读完后进行。当复核发现零点与原值的偏差超过±0.001mm时，应调零后重新测量。</w:t>
      </w:r>
    </w:p>
    <w:p w14:paraId="4716FC0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  试件每次在卧式收缩仪上放置的位置和方向均应保持一致。试件上应标明相应的方向记号。试件在放置及取出时应轻稳仔细，不得碰撞表架及表杆。当发生碰撞时，应取下试件，并重新以标准杆复核零点。</w:t>
      </w:r>
    </w:p>
    <w:p w14:paraId="4EEF22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  采用立式</w:t>
      </w:r>
      <w:r>
        <w:rPr>
          <w:rFonts w:hint="default" w:ascii="Times New Roman" w:hAnsi="Times New Roman" w:cs="Times New Roman"/>
          <w:color w:val="auto"/>
          <w:highlight w:val="none"/>
          <w:lang w:eastAsia="zh-CN"/>
        </w:rPr>
        <w:t>超高性能混凝土</w:t>
      </w:r>
      <w:r>
        <w:rPr>
          <w:rFonts w:hint="default" w:ascii="Times New Roman" w:hAnsi="Times New Roman" w:cs="Times New Roman"/>
          <w:color w:val="auto"/>
          <w:highlight w:val="none"/>
        </w:rPr>
        <w:t>收缩仪时，整套测试装置应放在不易受外部振动影响的</w:t>
      </w:r>
      <w:r>
        <w:rPr>
          <w:rFonts w:hint="default" w:ascii="Times New Roman" w:hAnsi="Times New Roman" w:cs="Times New Roman"/>
          <w:color w:val="auto"/>
          <w:highlight w:val="none"/>
          <w:lang w:val="en-US" w:eastAsia="zh-CN"/>
        </w:rPr>
        <w:t>部位</w:t>
      </w:r>
      <w:r>
        <w:rPr>
          <w:rFonts w:hint="default" w:ascii="Times New Roman" w:hAnsi="Times New Roman" w:cs="Times New Roman"/>
          <w:color w:val="auto"/>
          <w:highlight w:val="none"/>
        </w:rPr>
        <w:t>。读数时宜轻敲仪表或上下轻轻滑动测头。安装立式</w:t>
      </w:r>
      <w:r>
        <w:rPr>
          <w:rFonts w:hint="default" w:ascii="Times New Roman" w:hAnsi="Times New Roman" w:cs="Times New Roman"/>
          <w:color w:val="auto"/>
          <w:highlight w:val="none"/>
          <w:lang w:eastAsia="zh-CN"/>
        </w:rPr>
        <w:t>超高性能混凝土</w:t>
      </w:r>
      <w:r>
        <w:rPr>
          <w:rFonts w:hint="default" w:ascii="Times New Roman" w:hAnsi="Times New Roman" w:cs="Times New Roman"/>
          <w:color w:val="auto"/>
          <w:highlight w:val="none"/>
        </w:rPr>
        <w:t>收缩仪的测试台应有减振装置。</w:t>
      </w:r>
    </w:p>
    <w:p w14:paraId="68F2F9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7  </w:t>
      </w:r>
      <w:r>
        <w:rPr>
          <w:rFonts w:hint="default" w:ascii="Times New Roman" w:hAnsi="Times New Roman" w:cs="Times New Roman"/>
          <w:color w:val="auto"/>
          <w:highlight w:val="none"/>
          <w:lang w:val="en-US" w:eastAsia="zh-CN"/>
        </w:rPr>
        <w:t>采</w:t>
      </w:r>
      <w:r>
        <w:rPr>
          <w:rFonts w:hint="default" w:ascii="Times New Roman" w:hAnsi="Times New Roman" w:cs="Times New Roman"/>
          <w:color w:val="auto"/>
          <w:highlight w:val="none"/>
        </w:rPr>
        <w:t>用接触</w:t>
      </w:r>
      <w:r>
        <w:rPr>
          <w:rFonts w:hint="default" w:ascii="Times New Roman" w:hAnsi="Times New Roman" w:cs="Times New Roman"/>
          <w:color w:val="auto"/>
          <w:highlight w:val="none"/>
          <w:lang w:val="en-US" w:eastAsia="zh-CN"/>
        </w:rPr>
        <w:t>式</w:t>
      </w:r>
      <w:r>
        <w:rPr>
          <w:rFonts w:hint="default" w:ascii="Times New Roman" w:hAnsi="Times New Roman" w:cs="Times New Roman"/>
          <w:color w:val="auto"/>
          <w:highlight w:val="none"/>
        </w:rPr>
        <w:t>引伸仪测量时，应使试件与仪表保持相对固定的位置和方向。</w:t>
      </w:r>
    </w:p>
    <w:p w14:paraId="052E4910">
      <w:pPr>
        <w:keepNext w:val="0"/>
        <w:keepLines w:val="0"/>
        <w:pageBreakBefore w:val="0"/>
        <w:widowControl/>
        <w:kinsoku/>
        <w:wordWrap/>
        <w:overflowPunct/>
        <w:topLinePunct/>
        <w:autoSpaceDE/>
        <w:autoSpaceDN/>
        <w:bidi w:val="0"/>
        <w:adjustRightInd w:val="0"/>
        <w:snapToGrid w:val="0"/>
        <w:spacing w:line="360" w:lineRule="auto"/>
        <w:textAlignment w:val="auto"/>
        <w:rPr>
          <w:rFonts w:ascii="Times New Roman" w:hAnsi="Times New Roman" w:cs="Times New Roman"/>
          <w:color w:val="auto"/>
          <w:kern w:val="0"/>
          <w:highlight w:val="none"/>
        </w:rPr>
      </w:pPr>
      <w:r>
        <w:rPr>
          <w:rFonts w:hint="default" w:ascii="Times New Roman" w:hAnsi="Times New Roman" w:eastAsia="黑体" w:cs="Times New Roman"/>
          <w:bCs/>
          <w:color w:val="auto"/>
          <w:szCs w:val="21"/>
          <w:highlight w:val="none"/>
          <w:lang w:eastAsia="zh-CN"/>
        </w:rPr>
        <w:t>7.3</w:t>
      </w:r>
      <w:r>
        <w:rPr>
          <w:rFonts w:ascii="Times New Roman" w:hAnsi="Times New Roman" w:eastAsia="黑体" w:cs="Times New Roman"/>
          <w:bCs/>
          <w:color w:val="auto"/>
          <w:szCs w:val="21"/>
          <w:highlight w:val="none"/>
        </w:rPr>
        <w:t>.5</w:t>
      </w:r>
      <w:r>
        <w:rPr>
          <w:rFonts w:ascii="Times New Roman" w:hAnsi="Times New Roman" w:cs="Times New Roman"/>
          <w:color w:val="auto"/>
          <w:kern w:val="0"/>
          <w:highlight w:val="none"/>
        </w:rPr>
        <w:t xml:space="preserve">  试验结果计算</w:t>
      </w:r>
      <w:r>
        <w:rPr>
          <w:rFonts w:hint="default" w:ascii="Times New Roman" w:hAnsi="Times New Roman" w:cs="Times New Roman"/>
          <w:color w:val="auto"/>
          <w:kern w:val="0"/>
          <w:highlight w:val="none"/>
          <w:lang w:val="en-US" w:eastAsia="zh-CN"/>
        </w:rPr>
        <w:t>及</w:t>
      </w:r>
      <w:r>
        <w:rPr>
          <w:rFonts w:ascii="Times New Roman" w:hAnsi="Times New Roman" w:cs="Times New Roman"/>
          <w:color w:val="auto"/>
          <w:kern w:val="0"/>
          <w:highlight w:val="none"/>
        </w:rPr>
        <w:t>处理应符合</w:t>
      </w:r>
      <w:r>
        <w:rPr>
          <w:rFonts w:hint="default" w:ascii="Times New Roman" w:hAnsi="Times New Roman" w:cs="Times New Roman"/>
          <w:color w:val="auto"/>
          <w:kern w:val="0"/>
          <w:highlight w:val="none"/>
        </w:rPr>
        <w:t>下列</w:t>
      </w:r>
      <w:r>
        <w:rPr>
          <w:rFonts w:ascii="Times New Roman" w:hAnsi="Times New Roman" w:cs="Times New Roman"/>
          <w:color w:val="auto"/>
          <w:kern w:val="0"/>
          <w:highlight w:val="none"/>
        </w:rPr>
        <w:t>规定：</w:t>
      </w:r>
    </w:p>
    <w:p w14:paraId="16959086">
      <w:pPr>
        <w:keepNext w:val="0"/>
        <w:keepLines w:val="0"/>
        <w:pageBreakBefore w:val="0"/>
        <w:widowControl/>
        <w:kinsoku/>
        <w:wordWrap/>
        <w:overflowPunct/>
        <w:topLinePunct/>
        <w:autoSpaceDE/>
        <w:autoSpaceDN/>
        <w:bidi w:val="0"/>
        <w:adjustRightInd w:val="0"/>
        <w:snapToGrid w:val="0"/>
        <w:spacing w:line="360" w:lineRule="auto"/>
        <w:ind w:firstLine="420" w:firstLineChars="200"/>
        <w:textAlignment w:val="auto"/>
        <w:rPr>
          <w:rFonts w:ascii="Times New Roman" w:hAnsi="Times New Roman" w:cs="Times New Roman"/>
          <w:color w:val="auto"/>
          <w:kern w:val="0"/>
          <w:highlight w:val="none"/>
        </w:rPr>
      </w:pPr>
      <w:r>
        <w:rPr>
          <w:rFonts w:ascii="Times New Roman" w:hAnsi="Times New Roman" w:cs="Times New Roman"/>
          <w:color w:val="auto"/>
          <w:kern w:val="0"/>
          <w:highlight w:val="none"/>
        </w:rPr>
        <w:t xml:space="preserve">1  </w:t>
      </w:r>
      <w:r>
        <w:rPr>
          <w:rFonts w:hint="default" w:ascii="Times New Roman" w:hAnsi="Times New Roman" w:cs="Times New Roman"/>
          <w:color w:val="auto"/>
          <w:kern w:val="0"/>
          <w:highlight w:val="none"/>
          <w:lang w:eastAsia="zh-CN"/>
        </w:rPr>
        <w:t>超高性能混凝土</w:t>
      </w:r>
      <w:r>
        <w:rPr>
          <w:rFonts w:ascii="Times New Roman" w:hAnsi="Times New Roman" w:cs="Times New Roman"/>
          <w:color w:val="auto"/>
          <w:kern w:val="0"/>
          <w:highlight w:val="none"/>
        </w:rPr>
        <w:t>收缩率应按下式计算：</w:t>
      </w:r>
    </w:p>
    <w:tbl>
      <w:tblPr>
        <w:tblStyle w:val="38"/>
        <w:tblW w:w="5000" w:type="pct"/>
        <w:tblInd w:w="0" w:type="dxa"/>
        <w:tblLayout w:type="autofit"/>
        <w:tblCellMar>
          <w:top w:w="0" w:type="dxa"/>
          <w:left w:w="28" w:type="dxa"/>
          <w:bottom w:w="0" w:type="dxa"/>
          <w:right w:w="28" w:type="dxa"/>
        </w:tblCellMar>
      </w:tblPr>
      <w:tblGrid>
        <w:gridCol w:w="1419"/>
        <w:gridCol w:w="6558"/>
        <w:gridCol w:w="1434"/>
      </w:tblGrid>
      <w:tr w14:paraId="79546655">
        <w:tblPrEx>
          <w:tblCellMar>
            <w:top w:w="0" w:type="dxa"/>
            <w:left w:w="28" w:type="dxa"/>
            <w:bottom w:w="0" w:type="dxa"/>
            <w:right w:w="28" w:type="dxa"/>
          </w:tblCellMar>
        </w:tblPrEx>
        <w:trPr>
          <w:trHeight w:val="420" w:hRule="atLeast"/>
        </w:trPr>
        <w:tc>
          <w:tcPr>
            <w:tcW w:w="754" w:type="pct"/>
            <w:noWrap w:val="0"/>
            <w:vAlign w:val="center"/>
          </w:tcPr>
          <w:p w14:paraId="41DA7C75">
            <w:pPr>
              <w:pStyle w:val="124"/>
              <w:keepNext w:val="0"/>
              <w:keepLines w:val="0"/>
              <w:suppressLineNumbers w:val="0"/>
              <w:kinsoku/>
              <w:overflowPunct/>
              <w:topLinePunct/>
              <w:bidi w:val="0"/>
              <w:spacing w:before="0" w:beforeAutospacing="0" w:after="0" w:afterAutospacing="0" w:line="360" w:lineRule="auto"/>
              <w:ind w:left="0" w:right="0" w:firstLine="0"/>
              <w:jc w:val="center"/>
              <w:rPr>
                <w:rFonts w:hint="default" w:ascii="Times New Roman" w:hAnsi="Times New Roman" w:cs="Times New Roman"/>
                <w:color w:val="auto"/>
                <w:spacing w:val="0"/>
                <w:sz w:val="21"/>
                <w:szCs w:val="21"/>
                <w:highlight w:val="none"/>
              </w:rPr>
            </w:pPr>
          </w:p>
        </w:tc>
        <w:tc>
          <w:tcPr>
            <w:tcW w:w="3484" w:type="pct"/>
            <w:noWrap w:val="0"/>
            <w:vAlign w:val="center"/>
          </w:tcPr>
          <w:p w14:paraId="573FF36E">
            <w:pPr>
              <w:pStyle w:val="124"/>
              <w:keepNext w:val="0"/>
              <w:keepLines w:val="0"/>
              <w:suppressLineNumbers w:val="0"/>
              <w:kinsoku/>
              <w:overflowPunct/>
              <w:topLinePunct/>
              <w:bidi w:val="0"/>
              <w:spacing w:before="0" w:beforeAutospacing="0" w:after="0" w:afterAutospacing="0" w:line="36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26"/>
                <w:sz w:val="21"/>
                <w:szCs w:val="21"/>
                <w:highlight w:val="none"/>
              </w:rPr>
              <w:object>
                <v:shape id="_x0000_i1112" o:spt="75" type="#_x0000_t75" style="height:30pt;width:59pt;" o:ole="t" filled="f" o:preferrelative="t" stroked="f" coordsize="21600,21600">
                  <v:path/>
                  <v:fill on="f" alignshape="1" focussize="0,0"/>
                  <v:stroke on="f"/>
                  <v:imagedata r:id="rId223" o:title=""/>
                  <o:lock v:ext="edit" aspectratio="t"/>
                  <w10:wrap type="none"/>
                  <w10:anchorlock/>
                </v:shape>
                <o:OLEObject Type="Embed" ProgID="Equation.3" ShapeID="_x0000_i1112" DrawAspect="Content" ObjectID="_1468075812" r:id="rId222">
                  <o:LockedField>false</o:LockedField>
                </o:OLEObject>
              </w:object>
            </w:r>
          </w:p>
        </w:tc>
        <w:tc>
          <w:tcPr>
            <w:tcW w:w="762" w:type="pct"/>
            <w:noWrap w:val="0"/>
            <w:vAlign w:val="center"/>
          </w:tcPr>
          <w:p w14:paraId="3C2F3C3D">
            <w:pPr>
              <w:pStyle w:val="124"/>
              <w:keepNext w:val="0"/>
              <w:keepLines w:val="0"/>
              <w:suppressLineNumbers w:val="0"/>
              <w:kinsoku/>
              <w:overflowPunct/>
              <w:topLinePunct/>
              <w:bidi w:val="0"/>
              <w:spacing w:before="0" w:beforeAutospacing="0" w:after="0" w:afterAutospacing="0" w:line="360" w:lineRule="auto"/>
              <w:ind w:left="0" w:right="0" w:firstLine="0"/>
              <w:jc w:val="right"/>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7.3</w:t>
            </w:r>
            <w:r>
              <w:rPr>
                <w:rFonts w:hint="default" w:ascii="Times New Roman" w:hAnsi="Times New Roman" w:cs="Times New Roman"/>
                <w:color w:val="auto"/>
                <w:sz w:val="21"/>
                <w:szCs w:val="21"/>
                <w:highlight w:val="none"/>
              </w:rPr>
              <w:t>.5）</w:t>
            </w:r>
          </w:p>
        </w:tc>
      </w:tr>
    </w:tbl>
    <w:p w14:paraId="551D9815">
      <w:pPr>
        <w:keepNext w:val="0"/>
        <w:keepLines w:val="0"/>
        <w:pageBreakBefore w:val="0"/>
        <w:kinsoku/>
        <w:wordWrap/>
        <w:overflowPunct/>
        <w:autoSpaceDE/>
        <w:autoSpaceDN/>
        <w:bidi w:val="0"/>
        <w:spacing w:line="360" w:lineRule="auto"/>
        <w:textAlignment w:val="auto"/>
        <w:rPr>
          <w:rFonts w:ascii="Times New Roman" w:hAnsi="Times New Roman" w:cs="Times New Roman"/>
          <w:color w:val="auto"/>
          <w:highlight w:val="none"/>
        </w:rPr>
      </w:pPr>
      <w:r>
        <w:rPr>
          <w:rFonts w:ascii="Times New Roman" w:hAnsi="Times New Roman" w:cs="Times New Roman"/>
          <w:color w:val="auto"/>
          <w:highlight w:val="none"/>
        </w:rPr>
        <w:t>式中：</w:t>
      </w:r>
      <w:r>
        <w:rPr>
          <w:rFonts w:ascii="Times New Roman" w:hAnsi="Times New Roman" w:cs="Times New Roman"/>
          <w:i/>
          <w:color w:val="auto"/>
          <w:sz w:val="24"/>
          <w:highlight w:val="none"/>
        </w:rPr>
        <w:t>ε</w:t>
      </w:r>
      <w:r>
        <w:rPr>
          <w:rFonts w:ascii="Times New Roman" w:hAnsi="Times New Roman" w:cs="Times New Roman"/>
          <w:i/>
          <w:color w:val="auto"/>
          <w:highlight w:val="none"/>
          <w:vertAlign w:val="subscript"/>
        </w:rPr>
        <w:t>st</w:t>
      </w:r>
      <w:r>
        <w:rPr>
          <w:rFonts w:ascii="Times New Roman" w:hAnsi="Times New Roman" w:cs="Times New Roman"/>
          <w:color w:val="auto"/>
          <w:highlight w:val="none"/>
        </w:rPr>
        <w:t>——试验期为</w:t>
      </w:r>
      <w:r>
        <w:rPr>
          <w:rFonts w:ascii="Times New Roman" w:hAnsi="Times New Roman" w:cs="Times New Roman"/>
          <w:i/>
          <w:iCs/>
          <w:color w:val="auto"/>
          <w:highlight w:val="none"/>
        </w:rPr>
        <w:t>t</w:t>
      </w:r>
      <w:r>
        <w:rPr>
          <w:rFonts w:ascii="Times New Roman" w:hAnsi="Times New Roman" w:cs="Times New Roman"/>
          <w:color w:val="auto"/>
          <w:highlight w:val="none"/>
        </w:rPr>
        <w:t>（d）的</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收缩率，</w:t>
      </w:r>
      <w:r>
        <w:rPr>
          <w:rFonts w:ascii="Times New Roman" w:hAnsi="Times New Roman" w:cs="Times New Roman"/>
          <w:i/>
          <w:iCs/>
          <w:color w:val="auto"/>
          <w:highlight w:val="none"/>
        </w:rPr>
        <w:t>t</w:t>
      </w:r>
      <w:r>
        <w:rPr>
          <w:rFonts w:ascii="Times New Roman" w:hAnsi="Times New Roman" w:cs="Times New Roman"/>
          <w:color w:val="auto"/>
          <w:highlight w:val="none"/>
        </w:rPr>
        <w:t>从测定初始长度时算起；</w:t>
      </w:r>
    </w:p>
    <w:p w14:paraId="11EE20B7">
      <w:pPr>
        <w:keepNext w:val="0"/>
        <w:keepLines w:val="0"/>
        <w:pageBreakBefore w:val="0"/>
        <w:kinsoku/>
        <w:wordWrap/>
        <w:overflowPunct/>
        <w:autoSpaceDE/>
        <w:autoSpaceDN/>
        <w:bidi w:val="0"/>
        <w:spacing w:line="360" w:lineRule="auto"/>
        <w:ind w:left="1466" w:leftChars="358" w:hanging="714" w:hangingChars="340"/>
        <w:textAlignment w:val="auto"/>
        <w:rPr>
          <w:rFonts w:ascii="Times New Roman" w:hAnsi="Times New Roman" w:cs="Times New Roman"/>
          <w:color w:val="auto"/>
          <w:highlight w:val="none"/>
        </w:rPr>
      </w:pPr>
      <w:r>
        <w:rPr>
          <w:rFonts w:ascii="Times New Roman" w:hAnsi="Times New Roman" w:cs="Times New Roman"/>
          <w:i/>
          <w:color w:val="auto"/>
          <w:highlight w:val="none"/>
        </w:rPr>
        <w:t>L</w:t>
      </w:r>
      <w:r>
        <w:rPr>
          <w:rFonts w:ascii="Times New Roman" w:hAnsi="Times New Roman" w:cs="Times New Roman"/>
          <w:i/>
          <w:color w:val="auto"/>
          <w:highlight w:val="none"/>
          <w:vertAlign w:val="subscript"/>
        </w:rPr>
        <w:t xml:space="preserve">b </w:t>
      </w:r>
      <w:r>
        <w:rPr>
          <w:rFonts w:ascii="Times New Roman" w:hAnsi="Times New Roman" w:cs="Times New Roman"/>
          <w:color w:val="auto"/>
          <w:highlight w:val="none"/>
        </w:rPr>
        <w:t>——试件的测量标距</w:t>
      </w:r>
      <w:r>
        <w:rPr>
          <w:rFonts w:ascii="Times New Roman" w:hAnsi="Times New Roman" w:cs="Times New Roman"/>
          <w:color w:val="auto"/>
          <w:kern w:val="0"/>
          <w:szCs w:val="21"/>
          <w:highlight w:val="none"/>
        </w:rPr>
        <w:t>（mm）</w:t>
      </w:r>
      <w:r>
        <w:rPr>
          <w:rFonts w:ascii="Times New Roman" w:hAnsi="Times New Roman" w:cs="Times New Roman"/>
          <w:color w:val="auto"/>
          <w:highlight w:val="none"/>
        </w:rPr>
        <w:t>，</w:t>
      </w:r>
      <w:r>
        <w:rPr>
          <w:rFonts w:hint="default" w:ascii="Times New Roman" w:hAnsi="Times New Roman" w:cs="Times New Roman"/>
          <w:color w:val="auto"/>
          <w:highlight w:val="none"/>
          <w:lang w:val="en-US" w:eastAsia="zh-CN"/>
        </w:rPr>
        <w:t>采</w:t>
      </w:r>
      <w:r>
        <w:rPr>
          <w:rFonts w:ascii="Times New Roman" w:hAnsi="Times New Roman" w:cs="Times New Roman"/>
          <w:color w:val="auto"/>
          <w:highlight w:val="none"/>
        </w:rPr>
        <w:t>用</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收缩仪测量时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为</w:t>
      </w:r>
      <w:r>
        <w:rPr>
          <w:rFonts w:ascii="Times New Roman" w:hAnsi="Times New Roman" w:cs="Times New Roman"/>
          <w:color w:val="auto"/>
          <w:highlight w:val="none"/>
        </w:rPr>
        <w:t>两测头内侧的距离，即</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试件长度（不计测头凸出部份）减去两个测头埋入深度</w:t>
      </w:r>
      <w:r>
        <w:rPr>
          <w:rFonts w:ascii="Times New Roman" w:hAnsi="Times New Roman" w:cs="Times New Roman"/>
          <w:color w:val="auto"/>
          <w:kern w:val="0"/>
          <w:szCs w:val="21"/>
          <w:highlight w:val="none"/>
        </w:rPr>
        <w:t>；</w:t>
      </w:r>
      <w:r>
        <w:rPr>
          <w:rFonts w:ascii="Times New Roman" w:hAnsi="Times New Roman" w:cs="Times New Roman"/>
          <w:color w:val="auto"/>
          <w:highlight w:val="none"/>
        </w:rPr>
        <w:t>采用接触</w:t>
      </w:r>
      <w:r>
        <w:rPr>
          <w:rFonts w:hint="default" w:ascii="Times New Roman" w:hAnsi="Times New Roman" w:cs="Times New Roman"/>
          <w:color w:val="auto"/>
          <w:kern w:val="0"/>
          <w:highlight w:val="none"/>
          <w:lang w:val="en-US" w:eastAsia="zh-CN"/>
        </w:rPr>
        <w:t>式</w:t>
      </w:r>
      <w:r>
        <w:rPr>
          <w:rFonts w:ascii="Times New Roman" w:hAnsi="Times New Roman" w:cs="Times New Roman"/>
          <w:color w:val="auto"/>
          <w:highlight w:val="none"/>
        </w:rPr>
        <w:t>引伸仪时，为仪器的测量标距；</w:t>
      </w:r>
    </w:p>
    <w:p w14:paraId="66C2A07F">
      <w:pPr>
        <w:keepNext w:val="0"/>
        <w:keepLines w:val="0"/>
        <w:pageBreakBefore w:val="0"/>
        <w:widowControl/>
        <w:kinsoku/>
        <w:wordWrap/>
        <w:overflowPunct/>
        <w:topLinePunct/>
        <w:autoSpaceDE/>
        <w:autoSpaceDN/>
        <w:bidi w:val="0"/>
        <w:adjustRightInd w:val="0"/>
        <w:snapToGrid w:val="0"/>
        <w:spacing w:line="360" w:lineRule="auto"/>
        <w:ind w:firstLine="735" w:firstLineChars="350"/>
        <w:textAlignment w:val="auto"/>
        <w:rPr>
          <w:rFonts w:ascii="Times New Roman" w:hAnsi="Times New Roman" w:cs="Times New Roman"/>
          <w:color w:val="auto"/>
          <w:kern w:val="0"/>
          <w:szCs w:val="21"/>
          <w:highlight w:val="none"/>
        </w:rPr>
      </w:pPr>
      <w:r>
        <w:rPr>
          <w:rFonts w:ascii="Times New Roman" w:hAnsi="Times New Roman" w:cs="Times New Roman"/>
          <w:i/>
          <w:color w:val="auto"/>
          <w:kern w:val="0"/>
          <w:position w:val="-12"/>
          <w:szCs w:val="21"/>
          <w:highlight w:val="none"/>
        </w:rPr>
        <w:object>
          <v:shape id="_x0000_i1113" o:spt="75" type="#_x0000_t75" style="height:19pt;width:13.95pt;" o:ole="t" filled="f" o:preferrelative="t" stroked="f" coordsize="21600,21600">
            <v:path/>
            <v:fill on="f" alignshape="1" focussize="0,0"/>
            <v:stroke on="f"/>
            <v:imagedata r:id="rId225" o:title=""/>
            <o:lock v:ext="edit" aspectratio="t"/>
            <w10:wrap type="none"/>
            <w10:anchorlock/>
          </v:shape>
          <o:OLEObject Type="Embed" ProgID="Equation.3" ShapeID="_x0000_i1113" DrawAspect="Content" ObjectID="_1468075813" r:id="rId224">
            <o:LockedField>false</o:LockedField>
          </o:OLEObject>
        </w:object>
      </w:r>
      <w:r>
        <w:rPr>
          <w:rFonts w:ascii="Times New Roman" w:hAnsi="Times New Roman" w:cs="Times New Roman"/>
          <w:color w:val="auto"/>
          <w:kern w:val="0"/>
          <w:szCs w:val="21"/>
          <w:highlight w:val="none"/>
        </w:rPr>
        <w:t>——试件长度的初始读数（mm）；</w:t>
      </w:r>
    </w:p>
    <w:p w14:paraId="3E6E63CC">
      <w:pPr>
        <w:keepNext w:val="0"/>
        <w:keepLines w:val="0"/>
        <w:pageBreakBefore w:val="0"/>
        <w:widowControl/>
        <w:kinsoku/>
        <w:wordWrap/>
        <w:overflowPunct/>
        <w:topLinePunct/>
        <w:autoSpaceDE/>
        <w:autoSpaceDN/>
        <w:bidi w:val="0"/>
        <w:adjustRightInd w:val="0"/>
        <w:snapToGrid w:val="0"/>
        <w:spacing w:line="360" w:lineRule="auto"/>
        <w:ind w:firstLine="735" w:firstLineChars="350"/>
        <w:textAlignment w:val="auto"/>
        <w:rPr>
          <w:rFonts w:ascii="Times New Roman" w:hAnsi="Times New Roman" w:cs="Times New Roman"/>
          <w:color w:val="auto"/>
          <w:kern w:val="0"/>
          <w:szCs w:val="21"/>
          <w:highlight w:val="none"/>
        </w:rPr>
      </w:pPr>
      <w:r>
        <w:rPr>
          <w:rFonts w:ascii="Times New Roman" w:hAnsi="Times New Roman" w:cs="Times New Roman"/>
          <w:color w:val="auto"/>
          <w:kern w:val="0"/>
          <w:position w:val="-10"/>
          <w:szCs w:val="21"/>
          <w:highlight w:val="none"/>
        </w:rPr>
        <w:object>
          <v:shape id="_x0000_i1114" o:spt="75" type="#_x0000_t75" style="height:15pt;width:12pt;" o:ole="t" filled="f" o:preferrelative="t" stroked="f" coordsize="21600,21600">
            <v:path/>
            <v:fill on="f" alignshape="1" focussize="0,0"/>
            <v:stroke on="f"/>
            <v:imagedata r:id="rId227" o:title=""/>
            <o:lock v:ext="edit" aspectratio="t"/>
            <w10:wrap type="none"/>
            <w10:anchorlock/>
          </v:shape>
          <o:OLEObject Type="Embed" ProgID="Equation.3" ShapeID="_x0000_i1114" DrawAspect="Content" ObjectID="_1468075814" r:id="rId226">
            <o:LockedField>false</o:LockedField>
          </o:OLEObject>
        </w:object>
      </w:r>
      <w:r>
        <w:rPr>
          <w:rFonts w:ascii="Times New Roman" w:hAnsi="Times New Roman" w:cs="Times New Roman"/>
          <w:color w:val="auto"/>
          <w:kern w:val="0"/>
          <w:sz w:val="10"/>
          <w:szCs w:val="10"/>
          <w:highlight w:val="none"/>
        </w:rPr>
        <w:t xml:space="preserve"> </w:t>
      </w:r>
      <w:r>
        <w:rPr>
          <w:rFonts w:ascii="Times New Roman" w:hAnsi="Times New Roman" w:cs="Times New Roman"/>
          <w:color w:val="auto"/>
          <w:kern w:val="0"/>
          <w:szCs w:val="21"/>
          <w:highlight w:val="none"/>
        </w:rPr>
        <w:t>——试件在试验期为</w:t>
      </w:r>
      <w:r>
        <w:rPr>
          <w:rFonts w:ascii="Times New Roman" w:hAnsi="Times New Roman" w:cs="Times New Roman"/>
          <w:color w:val="auto"/>
          <w:kern w:val="0"/>
          <w:position w:val="-6"/>
          <w:szCs w:val="21"/>
          <w:highlight w:val="none"/>
        </w:rPr>
        <w:object>
          <v:shape id="_x0000_i1115" o:spt="75" type="#_x0000_t75" style="height:12pt;width:6.95pt;" o:ole="t" filled="f" o:preferrelative="t" stroked="f" coordsize="21600,21600">
            <v:path/>
            <v:fill on="f" alignshape="1" focussize="0,0"/>
            <v:stroke on="f"/>
            <v:imagedata r:id="rId229" o:title=""/>
            <o:lock v:ext="edit" aspectratio="t"/>
            <w10:wrap type="none"/>
            <w10:anchorlock/>
          </v:shape>
          <o:OLEObject Type="Embed" ProgID="Equation.3" ShapeID="_x0000_i1115" DrawAspect="Content" ObjectID="_1468075815" r:id="rId228">
            <o:LockedField>false</o:LockedField>
          </o:OLEObject>
        </w:object>
      </w:r>
      <w:r>
        <w:rPr>
          <w:rFonts w:ascii="Times New Roman" w:hAnsi="Times New Roman" w:cs="Times New Roman"/>
          <w:color w:val="auto"/>
          <w:kern w:val="0"/>
          <w:szCs w:val="21"/>
          <w:highlight w:val="none"/>
        </w:rPr>
        <w:t>（d）时测得的长度读数（mm）。</w:t>
      </w:r>
    </w:p>
    <w:p w14:paraId="5BC0230A">
      <w:pPr>
        <w:keepNext w:val="0"/>
        <w:keepLines w:val="0"/>
        <w:pageBreakBefore w:val="0"/>
        <w:kinsoku/>
        <w:wordWrap/>
        <w:overflowPunct/>
        <w:topLinePunct/>
        <w:autoSpaceDE/>
        <w:autoSpaceDN/>
        <w:bidi w:val="0"/>
        <w:adjustRightInd w:val="0"/>
        <w:snapToGrid w:val="0"/>
        <w:spacing w:line="360" w:lineRule="auto"/>
        <w:ind w:firstLine="420" w:firstLineChars="200"/>
        <w:textAlignment w:val="auto"/>
        <w:rPr>
          <w:rFonts w:ascii="Times New Roman" w:hAnsi="Times New Roman" w:cs="Times New Roman"/>
          <w:color w:val="auto"/>
          <w:kern w:val="0"/>
          <w:szCs w:val="21"/>
          <w:highlight w:val="none"/>
        </w:rPr>
      </w:pPr>
      <w:r>
        <w:rPr>
          <w:rFonts w:ascii="Times New Roman" w:hAnsi="Times New Roman" w:cs="Times New Roman"/>
          <w:color w:val="auto"/>
          <w:kern w:val="0"/>
          <w:highlight w:val="none"/>
        </w:rPr>
        <w:t>2  每组</w:t>
      </w:r>
      <w:r>
        <w:rPr>
          <w:rFonts w:ascii="Times New Roman" w:hAnsi="Times New Roman" w:cs="Times New Roman"/>
          <w:color w:val="auto"/>
          <w:kern w:val="0"/>
          <w:szCs w:val="21"/>
          <w:highlight w:val="none"/>
        </w:rPr>
        <w:t>应取3个试件收缩率的算术平均值作为该组</w:t>
      </w:r>
      <w:r>
        <w:rPr>
          <w:rFonts w:hint="default" w:ascii="Times New Roman" w:hAnsi="Times New Roman" w:cs="Times New Roman"/>
          <w:color w:val="auto"/>
          <w:kern w:val="0"/>
          <w:szCs w:val="21"/>
          <w:highlight w:val="none"/>
          <w:lang w:eastAsia="zh-CN"/>
        </w:rPr>
        <w:t>超高性能混凝土</w:t>
      </w:r>
      <w:r>
        <w:rPr>
          <w:rFonts w:ascii="Times New Roman" w:hAnsi="Times New Roman" w:cs="Times New Roman"/>
          <w:color w:val="auto"/>
          <w:kern w:val="0"/>
          <w:szCs w:val="21"/>
          <w:highlight w:val="none"/>
        </w:rPr>
        <w:t>试件的收缩率测定值，精确至</w:t>
      </w:r>
      <w:r>
        <w:rPr>
          <w:rFonts w:ascii="Times New Roman" w:hAnsi="Times New Roman" w:cs="Times New Roman"/>
          <w:color w:val="auto"/>
          <w:szCs w:val="21"/>
          <w:highlight w:val="none"/>
        </w:rPr>
        <w:t>1.0×10</w:t>
      </w:r>
      <w:r>
        <w:rPr>
          <w:rFonts w:ascii="Times New Roman" w:hAnsi="Times New Roman" w:cs="Times New Roman"/>
          <w:color w:val="auto"/>
          <w:szCs w:val="21"/>
          <w:highlight w:val="none"/>
          <w:vertAlign w:val="superscript"/>
        </w:rPr>
        <w:t>-6</w:t>
      </w:r>
      <w:r>
        <w:rPr>
          <w:rFonts w:ascii="Times New Roman" w:hAnsi="Times New Roman" w:cs="Times New Roman"/>
          <w:color w:val="auto"/>
          <w:kern w:val="0"/>
          <w:szCs w:val="21"/>
          <w:highlight w:val="none"/>
        </w:rPr>
        <w:t>。</w:t>
      </w:r>
      <w:r>
        <w:rPr>
          <w:rFonts w:ascii="Times New Roman" w:hAnsi="Times New Roman" w:cs="Times New Roman"/>
          <w:color w:val="auto"/>
          <w:szCs w:val="21"/>
          <w:highlight w:val="none"/>
        </w:rPr>
        <w:t>当最大值或最小值与中间值之差超过中间值的15%时，应剔除此值，再取其余两值的平均值作为测定值；当最大值和最小值均超过中间值的15%时，应取中间值作为测定值。</w:t>
      </w:r>
    </w:p>
    <w:p w14:paraId="06BB30DC">
      <w:pPr>
        <w:keepNext w:val="0"/>
        <w:keepLines w:val="0"/>
        <w:pageBreakBefore w:val="0"/>
        <w:kinsoku/>
        <w:wordWrap/>
        <w:overflowPunct/>
        <w:topLinePunct/>
        <w:autoSpaceDE/>
        <w:autoSpaceDN/>
        <w:bidi w:val="0"/>
        <w:adjustRightInd w:val="0"/>
        <w:snapToGrid w:val="0"/>
        <w:spacing w:line="360" w:lineRule="auto"/>
        <w:ind w:firstLine="420" w:firstLineChars="200"/>
        <w:textAlignment w:val="auto"/>
        <w:rPr>
          <w:rFonts w:ascii="Times New Roman" w:hAnsi="Times New Roman" w:cs="Times New Roman"/>
          <w:color w:val="auto"/>
          <w:kern w:val="0"/>
          <w:szCs w:val="21"/>
          <w:highlight w:val="none"/>
        </w:rPr>
      </w:pPr>
      <w:r>
        <w:rPr>
          <w:rFonts w:ascii="Times New Roman" w:hAnsi="Times New Roman" w:cs="Times New Roman"/>
          <w:color w:val="auto"/>
          <w:kern w:val="0"/>
          <w:highlight w:val="none"/>
        </w:rPr>
        <w:t xml:space="preserve">3  </w:t>
      </w:r>
      <w:r>
        <w:rPr>
          <w:rFonts w:hint="eastAsia" w:ascii="Times New Roman" w:hAnsi="Times New Roman" w:cs="Times New Roman"/>
          <w:color w:val="auto"/>
          <w:kern w:val="0"/>
          <w:szCs w:val="21"/>
          <w:highlight w:val="none"/>
          <w:lang w:val="en-US" w:eastAsia="zh-CN"/>
        </w:rPr>
        <w:t>作为相互比较</w:t>
      </w:r>
      <w:r>
        <w:rPr>
          <w:rFonts w:ascii="Times New Roman" w:hAnsi="Times New Roman" w:cs="Times New Roman"/>
          <w:color w:val="auto"/>
          <w:kern w:val="0"/>
          <w:szCs w:val="21"/>
          <w:highlight w:val="none"/>
        </w:rPr>
        <w:t>的</w:t>
      </w:r>
      <w:r>
        <w:rPr>
          <w:rFonts w:hint="default" w:ascii="Times New Roman" w:hAnsi="Times New Roman" w:cs="Times New Roman"/>
          <w:color w:val="auto"/>
          <w:kern w:val="0"/>
          <w:szCs w:val="21"/>
          <w:highlight w:val="none"/>
          <w:lang w:eastAsia="zh-CN"/>
        </w:rPr>
        <w:t>超高性能混凝土</w:t>
      </w:r>
      <w:r>
        <w:rPr>
          <w:rFonts w:ascii="Times New Roman" w:hAnsi="Times New Roman" w:cs="Times New Roman"/>
          <w:color w:val="auto"/>
          <w:kern w:val="0"/>
          <w:szCs w:val="21"/>
          <w:highlight w:val="none"/>
        </w:rPr>
        <w:t>收缩率应为不密封试件于</w:t>
      </w:r>
      <w:r>
        <w:rPr>
          <w:rFonts w:hint="default" w:ascii="Times New Roman" w:hAnsi="Times New Roman" w:cs="Times New Roman"/>
          <w:color w:val="auto"/>
          <w:kern w:val="0"/>
          <w:szCs w:val="21"/>
          <w:highlight w:val="none"/>
          <w:lang w:val="en-US" w:eastAsia="zh-CN"/>
        </w:rPr>
        <w:t>28d</w:t>
      </w:r>
      <w:r>
        <w:rPr>
          <w:rFonts w:ascii="Times New Roman" w:hAnsi="Times New Roman" w:cs="Times New Roman"/>
          <w:color w:val="auto"/>
          <w:kern w:val="0"/>
          <w:szCs w:val="21"/>
          <w:highlight w:val="none"/>
        </w:rPr>
        <w:t>所测得的收缩率。可将不密封试件于360d所测得的收缩率作为该</w:t>
      </w:r>
      <w:r>
        <w:rPr>
          <w:rFonts w:hint="default" w:ascii="Times New Roman" w:hAnsi="Times New Roman" w:cs="Times New Roman"/>
          <w:color w:val="auto"/>
          <w:kern w:val="0"/>
          <w:szCs w:val="21"/>
          <w:highlight w:val="none"/>
          <w:lang w:eastAsia="zh-CN"/>
        </w:rPr>
        <w:t>超高性能混凝土</w:t>
      </w:r>
      <w:r>
        <w:rPr>
          <w:rFonts w:ascii="Times New Roman" w:hAnsi="Times New Roman" w:cs="Times New Roman"/>
          <w:color w:val="auto"/>
          <w:kern w:val="0"/>
          <w:szCs w:val="21"/>
          <w:highlight w:val="none"/>
        </w:rPr>
        <w:t>的</w:t>
      </w:r>
      <w:r>
        <w:rPr>
          <w:rFonts w:hint="default" w:ascii="Times New Roman" w:hAnsi="Times New Roman" w:cs="Times New Roman"/>
          <w:color w:val="auto"/>
          <w:kern w:val="0"/>
          <w:szCs w:val="21"/>
          <w:highlight w:val="none"/>
        </w:rPr>
        <w:t>最终</w:t>
      </w:r>
      <w:r>
        <w:rPr>
          <w:rFonts w:ascii="Times New Roman" w:hAnsi="Times New Roman" w:cs="Times New Roman"/>
          <w:color w:val="auto"/>
          <w:kern w:val="0"/>
          <w:szCs w:val="21"/>
          <w:highlight w:val="none"/>
        </w:rPr>
        <w:t>收缩率。</w:t>
      </w:r>
    </w:p>
    <w:p w14:paraId="4D16F0ED">
      <w:pPr>
        <w:kinsoku/>
        <w:overflowPunct/>
        <w:bidi w:val="0"/>
        <w:spacing w:line="360" w:lineRule="auto"/>
        <w:rPr>
          <w:rFonts w:hint="default" w:ascii="Times New Roman" w:hAnsi="Times New Roman" w:cs="Times New Roman"/>
          <w:color w:val="auto"/>
          <w:highlight w:val="none"/>
          <w:lang w:val="en-US" w:eastAsia="zh-CN"/>
        </w:rPr>
      </w:pPr>
    </w:p>
    <w:p w14:paraId="31E273F6">
      <w:pPr>
        <w:numPr>
          <w:ilvl w:val="-1"/>
          <w:numId w:val="0"/>
        </w:numPr>
        <w:kinsoku/>
        <w:overflowPunct/>
        <w:bidi w:val="0"/>
        <w:spacing w:before="0" w:beforeLines="-2147483648" w:after="0" w:afterLines="-2147483648" w:line="360" w:lineRule="auto"/>
        <w:ind w:leftChars="0"/>
        <w:outlineLvl w:val="9"/>
        <w:rPr>
          <w:rFonts w:hint="default" w:ascii="Times New Roman" w:hAnsi="Times New Roman" w:eastAsia="黑体" w:cs="Times New Roman"/>
          <w:color w:val="auto"/>
          <w:sz w:val="21"/>
          <w:szCs w:val="21"/>
          <w:highlight w:val="none"/>
          <w:lang w:val="en-US" w:eastAsia="zh-CN" w:bidi="ar-SA"/>
        </w:rPr>
      </w:pPr>
      <w:r>
        <w:rPr>
          <w:rFonts w:hint="default" w:ascii="Times New Roman" w:hAnsi="Times New Roman" w:eastAsia="黑体" w:cs="Times New Roman"/>
          <w:color w:val="auto"/>
          <w:sz w:val="21"/>
          <w:szCs w:val="21"/>
          <w:highlight w:val="none"/>
          <w:lang w:val="en-US" w:eastAsia="zh-CN" w:bidi="ar-SA"/>
        </w:rPr>
        <w:br w:type="page"/>
      </w:r>
    </w:p>
    <w:p w14:paraId="77847065">
      <w:pPr>
        <w:numPr>
          <w:ilvl w:val="0"/>
          <w:numId w:val="0"/>
        </w:numPr>
        <w:kinsoku/>
        <w:overflowPunct/>
        <w:bidi w:val="0"/>
        <w:spacing w:before="156" w:beforeLines="50" w:after="156" w:afterLines="50" w:line="360" w:lineRule="auto"/>
        <w:ind w:leftChars="0"/>
        <w:outlineLvl w:val="1"/>
        <w:rPr>
          <w:rFonts w:ascii="Times New Roman" w:hAnsi="Times New Roman" w:eastAsia="黑体" w:cs="Times New Roman"/>
          <w:color w:val="auto"/>
          <w:sz w:val="21"/>
          <w:szCs w:val="21"/>
          <w:highlight w:val="none"/>
          <w:lang w:val="en-US" w:eastAsia="zh-CN" w:bidi="ar-SA"/>
        </w:rPr>
      </w:pPr>
      <w:bookmarkStart w:id="120" w:name="_Toc23675"/>
      <w:r>
        <w:rPr>
          <w:rFonts w:hint="default" w:ascii="Times New Roman" w:hAnsi="Times New Roman" w:eastAsia="黑体" w:cs="Times New Roman"/>
          <w:color w:val="auto"/>
          <w:sz w:val="21"/>
          <w:szCs w:val="21"/>
          <w:highlight w:val="none"/>
          <w:lang w:val="en-US" w:eastAsia="zh-CN" w:bidi="ar-SA"/>
        </w:rPr>
        <w:t>7.</w:t>
      </w:r>
      <w:r>
        <w:rPr>
          <w:rFonts w:hint="eastAsia" w:eastAsia="黑体" w:cs="Times New Roman"/>
          <w:color w:val="auto"/>
          <w:sz w:val="21"/>
          <w:szCs w:val="21"/>
          <w:highlight w:val="none"/>
          <w:lang w:val="en-US" w:eastAsia="zh-CN" w:bidi="ar-SA"/>
        </w:rPr>
        <w:t>4</w:t>
      </w:r>
      <w:r>
        <w:rPr>
          <w:rFonts w:hint="default" w:ascii="Times New Roman" w:hAnsi="Times New Roman" w:eastAsia="黑体" w:cs="Times New Roman"/>
          <w:color w:val="auto"/>
          <w:sz w:val="21"/>
          <w:szCs w:val="21"/>
          <w:highlight w:val="none"/>
          <w:lang w:val="en-US" w:eastAsia="zh-CN" w:bidi="ar-SA"/>
        </w:rPr>
        <w:t xml:space="preserve"> </w:t>
      </w:r>
      <w:r>
        <w:rPr>
          <w:rFonts w:ascii="Times New Roman" w:hAnsi="Times New Roman" w:eastAsia="黑体" w:cs="Times New Roman"/>
          <w:color w:val="auto"/>
          <w:sz w:val="21"/>
          <w:szCs w:val="21"/>
          <w:highlight w:val="none"/>
          <w:lang w:val="en-US" w:eastAsia="zh-CN" w:bidi="ar-SA"/>
        </w:rPr>
        <w:t>受压徐变</w:t>
      </w:r>
      <w:r>
        <w:rPr>
          <w:rFonts w:hint="default" w:ascii="Times New Roman" w:hAnsi="Times New Roman" w:eastAsia="黑体" w:cs="Times New Roman"/>
          <w:color w:val="auto"/>
          <w:sz w:val="21"/>
          <w:szCs w:val="21"/>
          <w:highlight w:val="none"/>
          <w:lang w:val="en-US" w:eastAsia="zh-CN" w:bidi="ar-SA"/>
        </w:rPr>
        <w:t>试验</w:t>
      </w:r>
      <w:bookmarkEnd w:id="120"/>
    </w:p>
    <w:p w14:paraId="53B4DA8B">
      <w:pPr>
        <w:kinsoku/>
        <w:overflowPunct/>
        <w:topLinePunct/>
        <w:bidi w:val="0"/>
        <w:adjustRightInd w:val="0"/>
        <w:snapToGrid w:val="0"/>
        <w:spacing w:line="360" w:lineRule="auto"/>
        <w:rPr>
          <w:rFonts w:ascii="Times New Roman" w:hAnsi="Times New Roman" w:cs="Times New Roman"/>
          <w:color w:val="auto"/>
          <w:highlight w:val="none"/>
        </w:rPr>
      </w:pPr>
      <w:r>
        <w:rPr>
          <w:rFonts w:hint="default" w:ascii="Times New Roman" w:hAnsi="Times New Roman" w:eastAsia="黑体" w:cs="Times New Roman"/>
          <w:bCs/>
          <w:color w:val="auto"/>
          <w:szCs w:val="21"/>
          <w:highlight w:val="none"/>
          <w:lang w:eastAsia="zh-CN"/>
        </w:rPr>
        <w:t>7.</w:t>
      </w:r>
      <w:r>
        <w:rPr>
          <w:rFonts w:hint="eastAsia" w:eastAsia="黑体" w:cs="Times New Roman"/>
          <w:bCs/>
          <w:color w:val="auto"/>
          <w:szCs w:val="21"/>
          <w:highlight w:val="none"/>
          <w:lang w:val="en-US" w:eastAsia="zh-CN"/>
        </w:rPr>
        <w:t>4</w:t>
      </w:r>
      <w:r>
        <w:rPr>
          <w:rFonts w:ascii="Times New Roman" w:hAnsi="Times New Roman" w:eastAsia="黑体" w:cs="Times New Roman"/>
          <w:bCs/>
          <w:color w:val="auto"/>
          <w:szCs w:val="21"/>
          <w:highlight w:val="none"/>
        </w:rPr>
        <w:t>.1</w:t>
      </w:r>
      <w:r>
        <w:rPr>
          <w:rFonts w:ascii="Times New Roman" w:hAnsi="Times New Roman" w:cs="Times New Roman"/>
          <w:color w:val="auto"/>
          <w:highlight w:val="none"/>
        </w:rPr>
        <w:t xml:space="preserve">  本方法适用于测定</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试件在长期恒定轴向压力作用下的变形性能。</w:t>
      </w:r>
      <w:bookmarkStart w:id="121" w:name="_Toc146546881"/>
      <w:bookmarkStart w:id="122" w:name="_Toc146727241"/>
      <w:bookmarkStart w:id="123" w:name="_Toc197919643"/>
    </w:p>
    <w:p w14:paraId="1A7EDFE5">
      <w:pPr>
        <w:kinsoku/>
        <w:overflowPunct/>
        <w:topLinePunct/>
        <w:bidi w:val="0"/>
        <w:adjustRightInd w:val="0"/>
        <w:snapToGrid w:val="0"/>
        <w:spacing w:line="360" w:lineRule="auto"/>
        <w:rPr>
          <w:rFonts w:ascii="Times New Roman" w:hAnsi="Times New Roman" w:eastAsia="黑体" w:cs="Times New Roman"/>
          <w:bCs/>
          <w:color w:val="auto"/>
          <w:szCs w:val="21"/>
          <w:highlight w:val="none"/>
        </w:rPr>
      </w:pPr>
      <w:r>
        <w:rPr>
          <w:rFonts w:hint="default" w:ascii="Times New Roman" w:hAnsi="Times New Roman" w:eastAsia="黑体" w:cs="Times New Roman"/>
          <w:bCs/>
          <w:color w:val="auto"/>
          <w:szCs w:val="21"/>
          <w:highlight w:val="none"/>
          <w:lang w:eastAsia="zh-CN"/>
        </w:rPr>
        <w:t>7.</w:t>
      </w:r>
      <w:r>
        <w:rPr>
          <w:rFonts w:hint="eastAsia" w:eastAsia="黑体" w:cs="Times New Roman"/>
          <w:bCs/>
          <w:color w:val="auto"/>
          <w:szCs w:val="21"/>
          <w:highlight w:val="none"/>
          <w:lang w:val="en-US" w:eastAsia="zh-CN"/>
        </w:rPr>
        <w:t>4</w:t>
      </w:r>
      <w:r>
        <w:rPr>
          <w:rFonts w:ascii="Times New Roman" w:hAnsi="Times New Roman" w:eastAsia="黑体" w:cs="Times New Roman"/>
          <w:bCs/>
          <w:color w:val="auto"/>
          <w:szCs w:val="21"/>
          <w:highlight w:val="none"/>
        </w:rPr>
        <w:t>.2</w:t>
      </w:r>
      <w:bookmarkEnd w:id="121"/>
      <w:r>
        <w:rPr>
          <w:rFonts w:ascii="Times New Roman" w:hAnsi="Times New Roman" w:eastAsia="黑体" w:cs="Times New Roman"/>
          <w:bCs/>
          <w:color w:val="auto"/>
          <w:szCs w:val="21"/>
          <w:highlight w:val="none"/>
        </w:rPr>
        <w:t xml:space="preserve">  </w:t>
      </w:r>
      <w:r>
        <w:rPr>
          <w:rFonts w:ascii="Times New Roman" w:hAnsi="Times New Roman" w:cs="Times New Roman"/>
          <w:color w:val="auto"/>
          <w:highlight w:val="none"/>
        </w:rPr>
        <w:t>试验仪器设备应符合下列规定：</w:t>
      </w:r>
      <w:bookmarkEnd w:id="122"/>
      <w:bookmarkEnd w:id="123"/>
      <w:bookmarkStart w:id="124" w:name="_Toc146546882"/>
      <w:bookmarkStart w:id="125" w:name="_Toc146727242"/>
      <w:bookmarkStart w:id="126" w:name="_Toc197919644"/>
    </w:p>
    <w:p w14:paraId="55FD3EDD">
      <w:pPr>
        <w:kinsoku/>
        <w:overflowPunct/>
        <w:topLinePunct/>
        <w:bidi w:val="0"/>
        <w:adjustRightInd w:val="0"/>
        <w:snapToGrid w:val="0"/>
        <w:spacing w:line="360" w:lineRule="auto"/>
        <w:ind w:firstLine="420" w:firstLineChars="200"/>
        <w:rPr>
          <w:rFonts w:ascii="Times New Roman" w:hAnsi="Times New Roman" w:cs="Times New Roman"/>
          <w:color w:val="auto"/>
          <w:highlight w:val="none"/>
        </w:rPr>
      </w:pPr>
      <w:r>
        <w:rPr>
          <w:rFonts w:ascii="Times New Roman" w:hAnsi="Times New Roman" w:eastAsia="黑体" w:cs="Times New Roman"/>
          <w:bCs/>
          <w:color w:val="auto"/>
          <w:szCs w:val="21"/>
          <w:highlight w:val="none"/>
        </w:rPr>
        <w:t>1</w:t>
      </w:r>
      <w:r>
        <w:rPr>
          <w:rFonts w:ascii="Times New Roman" w:hAnsi="Times New Roman" w:cs="Times New Roman"/>
          <w:b/>
          <w:color w:val="auto"/>
          <w:highlight w:val="none"/>
        </w:rPr>
        <w:t xml:space="preserve">  </w:t>
      </w:r>
      <w:r>
        <w:rPr>
          <w:rFonts w:ascii="Times New Roman" w:hAnsi="Times New Roman" w:cs="Times New Roman"/>
          <w:color w:val="auto"/>
          <w:highlight w:val="none"/>
        </w:rPr>
        <w:t>徐变仪</w:t>
      </w:r>
      <w:bookmarkEnd w:id="124"/>
      <w:r>
        <w:rPr>
          <w:rFonts w:ascii="Times New Roman" w:hAnsi="Times New Roman" w:cs="Times New Roman"/>
          <w:color w:val="auto"/>
          <w:highlight w:val="none"/>
        </w:rPr>
        <w:t>应符合下列规定：</w:t>
      </w:r>
      <w:bookmarkEnd w:id="125"/>
      <w:bookmarkEnd w:id="126"/>
    </w:p>
    <w:p w14:paraId="41334384">
      <w:pPr>
        <w:kinsoku/>
        <w:overflowPunct/>
        <w:topLinePunct/>
        <w:bidi w:val="0"/>
        <w:adjustRightInd w:val="0"/>
        <w:snapToGrid w:val="0"/>
        <w:spacing w:line="360" w:lineRule="auto"/>
        <w:ind w:left="630" w:leftChars="300"/>
        <w:rPr>
          <w:rFonts w:ascii="Times New Roman" w:hAnsi="Times New Roman" w:cs="Times New Roman"/>
          <w:color w:val="auto"/>
          <w:highlight w:val="none"/>
        </w:rPr>
      </w:pPr>
      <w:r>
        <w:rPr>
          <w:rFonts w:ascii="Times New Roman" w:hAnsi="Times New Roman" w:cs="Times New Roman"/>
          <w:color w:val="auto"/>
          <w:highlight w:val="none"/>
        </w:rPr>
        <w:t>1）徐变仪应在要求时间范围内</w:t>
      </w:r>
      <w:r>
        <w:rPr>
          <w:rFonts w:hint="default" w:ascii="Times New Roman" w:hAnsi="Times New Roman" w:cs="Times New Roman"/>
          <w:color w:val="auto"/>
          <w:highlight w:val="none"/>
        </w:rPr>
        <w:t>(至少1年)</w:t>
      </w:r>
      <w:r>
        <w:rPr>
          <w:rFonts w:ascii="Times New Roman" w:hAnsi="Times New Roman" w:cs="Times New Roman"/>
          <w:color w:val="auto"/>
          <w:highlight w:val="none"/>
        </w:rPr>
        <w:t>把所要求的压缩荷载加到试件上并保持该荷载不变。</w:t>
      </w:r>
    </w:p>
    <w:p w14:paraId="2B24D59E">
      <w:pPr>
        <w:kinsoku/>
        <w:overflowPunct/>
        <w:topLinePunct/>
        <w:bidi w:val="0"/>
        <w:adjustRightInd w:val="0"/>
        <w:snapToGrid w:val="0"/>
        <w:spacing w:line="360" w:lineRule="auto"/>
        <w:ind w:left="598" w:leftChars="285" w:firstLine="0" w:firstLineChars="0"/>
        <w:rPr>
          <w:rFonts w:ascii="Times New Roman" w:hAnsi="Times New Roman" w:cs="Times New Roman"/>
          <w:color w:val="auto"/>
          <w:highlight w:val="none"/>
        </w:rPr>
      </w:pPr>
      <w:r>
        <w:rPr>
          <w:rFonts w:ascii="Times New Roman" w:hAnsi="Times New Roman" w:cs="Times New Roman"/>
          <w:color w:val="auto"/>
          <w:highlight w:val="none"/>
        </w:rPr>
        <w:t>2）</w:t>
      </w:r>
      <w:r>
        <w:rPr>
          <w:rFonts w:hint="default" w:ascii="Times New Roman" w:hAnsi="Times New Roman" w:cs="Times New Roman"/>
          <w:color w:val="auto"/>
          <w:highlight w:val="none"/>
        </w:rPr>
        <w:t>宜采用最大工作荷载为1000kN的液压式徐变仪；采用弹簧式徐变仪时，其工作荷载范围应满足超高性能混凝土试件的加荷要求。</w:t>
      </w:r>
    </w:p>
    <w:p w14:paraId="2C71A8A6">
      <w:pPr>
        <w:kinsoku/>
        <w:overflowPunct/>
        <w:topLinePunct/>
        <w:bidi w:val="0"/>
        <w:adjustRightInd w:val="0"/>
        <w:snapToGrid w:val="0"/>
        <w:spacing w:line="360" w:lineRule="auto"/>
        <w:ind w:left="630" w:leftChars="300"/>
        <w:rPr>
          <w:rFonts w:ascii="Times New Roman" w:hAnsi="Times New Roman" w:cs="Times New Roman"/>
          <w:color w:val="auto"/>
          <w:highlight w:val="none"/>
        </w:rPr>
      </w:pPr>
      <w:r>
        <w:rPr>
          <w:rFonts w:ascii="Times New Roman" w:hAnsi="Times New Roman" w:cs="Times New Roman"/>
          <w:color w:val="auto"/>
          <w:highlight w:val="none"/>
        </w:rPr>
        <w:t>3）弹簧式压缩徐变仪应包括上下压板、球座或球铰及其配套垫板、弹簧持荷装置</w:t>
      </w:r>
      <w:r>
        <w:rPr>
          <w:rFonts w:hint="default" w:ascii="Times New Roman" w:hAnsi="Times New Roman" w:cs="Times New Roman"/>
          <w:color w:val="auto"/>
          <w:highlight w:val="none"/>
          <w:lang w:eastAsia="zh-CN"/>
        </w:rPr>
        <w:t>，</w:t>
      </w:r>
      <w:r>
        <w:rPr>
          <w:rFonts w:ascii="Times New Roman" w:hAnsi="Times New Roman" w:cs="Times New Roman"/>
          <w:color w:val="auto"/>
          <w:highlight w:val="none"/>
        </w:rPr>
        <w:t>以及2根～3根承力丝杆（图</w:t>
      </w:r>
      <w:r>
        <w:rPr>
          <w:rFonts w:hint="default" w:ascii="Times New Roman" w:hAnsi="Times New Roman" w:cs="Times New Roman"/>
          <w:color w:val="auto"/>
          <w:highlight w:val="none"/>
          <w:lang w:eastAsia="zh-CN"/>
        </w:rPr>
        <w:t>7.3</w:t>
      </w:r>
      <w:r>
        <w:rPr>
          <w:rFonts w:ascii="Times New Roman" w:hAnsi="Times New Roman" w:cs="Times New Roman"/>
          <w:color w:val="auto"/>
          <w:highlight w:val="none"/>
        </w:rPr>
        <w:t>.2）。压板与垫板</w:t>
      </w:r>
      <w:r>
        <w:rPr>
          <w:rFonts w:ascii="Times New Roman" w:hAnsi="Times New Roman" w:cs="Times New Roman"/>
          <w:color w:val="auto"/>
          <w:kern w:val="0"/>
          <w:highlight w:val="none"/>
        </w:rPr>
        <w:t>应具有足够的刚度。</w:t>
      </w:r>
      <w:r>
        <w:rPr>
          <w:rFonts w:ascii="Times New Roman" w:hAnsi="Times New Roman" w:cs="Times New Roman"/>
          <w:color w:val="auto"/>
          <w:highlight w:val="none"/>
        </w:rPr>
        <w:t>压板受压面的平整度偏差不应大于0.1 mm/100 mm，并应能</w:t>
      </w:r>
      <w:r>
        <w:rPr>
          <w:rFonts w:ascii="Times New Roman" w:hAnsi="Times New Roman" w:cs="Times New Roman"/>
          <w:color w:val="auto"/>
          <w:kern w:val="0"/>
          <w:highlight w:val="none"/>
        </w:rPr>
        <w:t>对试件均匀加荷。</w:t>
      </w:r>
      <w:r>
        <w:rPr>
          <w:rFonts w:ascii="Times New Roman" w:hAnsi="Times New Roman" w:cs="Times New Roman"/>
          <w:color w:val="auto"/>
          <w:highlight w:val="none"/>
        </w:rPr>
        <w:t>弹簧及丝杆的尺寸应按徐变仪所要求的试验吨位而定。在试验荷载下，丝杆的拉应力不应大于材料屈服点的30％，弹簧的工作压力不应超过允许极限荷载的80％，且工作时弹簧的压缩变形不得小于20 mm。</w:t>
      </w:r>
    </w:p>
    <w:p w14:paraId="491E30A5">
      <w:pPr>
        <w:kinsoku/>
        <w:overflowPunct/>
        <w:topLinePunct/>
        <w:bidi w:val="0"/>
        <w:adjustRightInd w:val="0"/>
        <w:snapToGrid w:val="0"/>
        <w:spacing w:line="360" w:lineRule="auto"/>
        <w:ind w:left="630" w:leftChars="300"/>
        <w:rPr>
          <w:rFonts w:ascii="Times New Roman" w:hAnsi="Times New Roman" w:cs="Times New Roman"/>
          <w:color w:val="auto"/>
          <w:kern w:val="0"/>
          <w:highlight w:val="none"/>
        </w:rPr>
      </w:pPr>
      <w:r>
        <w:rPr>
          <w:rFonts w:ascii="Times New Roman" w:hAnsi="Times New Roman" w:cs="Times New Roman"/>
          <w:color w:val="auto"/>
          <w:kern w:val="0"/>
          <w:highlight w:val="none"/>
        </w:rPr>
        <w:t>4）当使用液压式持荷部件时，可通过一套中央液压调节单元同时加荷几个徐变架，该单元应由储液器、调节器、显示仪表和高压源等组成。</w:t>
      </w:r>
    </w:p>
    <w:p w14:paraId="6C120EE1">
      <w:pPr>
        <w:kinsoku/>
        <w:overflowPunct/>
        <w:topLinePunct/>
        <w:bidi w:val="0"/>
        <w:adjustRightInd w:val="0"/>
        <w:snapToGrid w:val="0"/>
        <w:spacing w:line="360" w:lineRule="auto"/>
        <w:ind w:left="630" w:leftChars="300"/>
        <w:rPr>
          <w:rFonts w:ascii="Times New Roman" w:hAnsi="Times New Roman" w:cs="Times New Roman"/>
          <w:color w:val="auto"/>
          <w:highlight w:val="none"/>
        </w:rPr>
      </w:pPr>
      <w:r>
        <w:rPr>
          <w:rFonts w:ascii="Times New Roman" w:hAnsi="Times New Roman" w:cs="Times New Roman"/>
          <w:color w:val="auto"/>
          <w:highlight w:val="none"/>
        </w:rPr>
        <w:t>5）有条件时可采用几个试件串叠受荷，上下压板之间的总距离不得超过1600 mm。</w:t>
      </w:r>
      <w:bookmarkStart w:id="127" w:name="_Toc146727243"/>
      <w:bookmarkStart w:id="128" w:name="_Toc197919645"/>
      <w:bookmarkStart w:id="129" w:name="_Toc146546883"/>
    </w:p>
    <w:p w14:paraId="40127406">
      <w:pPr>
        <w:kinsoku/>
        <w:overflowPunct/>
        <w:topLinePunct/>
        <w:bidi w:val="0"/>
        <w:adjustRightInd w:val="0"/>
        <w:snapToGrid w:val="0"/>
        <w:spacing w:line="360" w:lineRule="auto"/>
        <w:ind w:firstLine="420" w:firstLineChars="200"/>
        <w:rPr>
          <w:rFonts w:ascii="Times New Roman" w:hAnsi="Times New Roman" w:cs="Times New Roman"/>
          <w:b/>
          <w:color w:val="auto"/>
          <w:highlight w:val="none"/>
        </w:rPr>
      </w:pPr>
      <w:r>
        <w:rPr>
          <w:rFonts w:ascii="Times New Roman" w:hAnsi="Times New Roman" w:eastAsia="黑体" w:cs="Times New Roman"/>
          <w:bCs/>
          <w:color w:val="auto"/>
          <w:szCs w:val="21"/>
          <w:highlight w:val="none"/>
        </w:rPr>
        <w:t>2</w:t>
      </w:r>
      <w:r>
        <w:rPr>
          <w:rFonts w:ascii="Times New Roman" w:hAnsi="Times New Roman" w:cs="Times New Roman"/>
          <w:b/>
          <w:color w:val="auto"/>
          <w:highlight w:val="none"/>
        </w:rPr>
        <w:t xml:space="preserve">  </w:t>
      </w:r>
      <w:r>
        <w:rPr>
          <w:rFonts w:ascii="Times New Roman" w:hAnsi="Times New Roman" w:cs="Times New Roman"/>
          <w:color w:val="auto"/>
          <w:highlight w:val="none"/>
        </w:rPr>
        <w:t>加荷装置</w:t>
      </w:r>
      <w:bookmarkEnd w:id="127"/>
      <w:bookmarkEnd w:id="128"/>
      <w:bookmarkEnd w:id="129"/>
      <w:r>
        <w:rPr>
          <w:rFonts w:ascii="Times New Roman" w:hAnsi="Times New Roman" w:cs="Times New Roman"/>
          <w:color w:val="auto"/>
          <w:highlight w:val="none"/>
        </w:rPr>
        <w:t>应符合下列规定：</w:t>
      </w:r>
    </w:p>
    <w:p w14:paraId="614EED59">
      <w:pPr>
        <w:kinsoku/>
        <w:overflowPunct/>
        <w:topLinePunct/>
        <w:bidi w:val="0"/>
        <w:adjustRightInd w:val="0"/>
        <w:snapToGrid w:val="0"/>
        <w:spacing w:line="360" w:lineRule="auto"/>
        <w:ind w:left="630" w:leftChars="300"/>
        <w:rPr>
          <w:rFonts w:ascii="Times New Roman" w:hAnsi="Times New Roman" w:cs="Times New Roman"/>
          <w:color w:val="auto"/>
          <w:highlight w:val="none"/>
        </w:rPr>
      </w:pPr>
      <w:r>
        <w:rPr>
          <w:rFonts w:ascii="Times New Roman" w:hAnsi="Times New Roman" w:cs="Times New Roman"/>
          <w:color w:val="auto"/>
          <w:highlight w:val="none"/>
        </w:rPr>
        <w:t>1）加荷架应由接长杆及顶板组成。加荷时加荷架应与徐变仪丝杆顶部相连。</w:t>
      </w:r>
    </w:p>
    <w:p w14:paraId="6775C1C9">
      <w:pPr>
        <w:kinsoku/>
        <w:overflowPunct/>
        <w:topLinePunct/>
        <w:bidi w:val="0"/>
        <w:adjustRightInd w:val="0"/>
        <w:snapToGrid w:val="0"/>
        <w:spacing w:line="360" w:lineRule="auto"/>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4507865" cy="2157095"/>
            <wp:effectExtent l="0" t="0" r="0" b="14605"/>
            <wp:docPr id="24" name="图片 89" descr="徐变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9" descr="徐变仪"/>
                    <pic:cNvPicPr>
                      <a:picLocks noChangeAspect="1"/>
                    </pic:cNvPicPr>
                  </pic:nvPicPr>
                  <pic:blipFill>
                    <a:blip r:embed="rId230"/>
                    <a:stretch>
                      <a:fillRect/>
                    </a:stretch>
                  </pic:blipFill>
                  <pic:spPr>
                    <a:xfrm>
                      <a:off x="0" y="0"/>
                      <a:ext cx="4507865" cy="2157095"/>
                    </a:xfrm>
                    <a:prstGeom prst="rect">
                      <a:avLst/>
                    </a:prstGeom>
                    <a:noFill/>
                    <a:ln>
                      <a:noFill/>
                    </a:ln>
                  </pic:spPr>
                </pic:pic>
              </a:graphicData>
            </a:graphic>
          </wp:inline>
        </w:drawing>
      </w:r>
    </w:p>
    <w:p w14:paraId="6A987409">
      <w:pPr>
        <w:kinsoku/>
        <w:overflowPunct/>
        <w:topLinePunct/>
        <w:bidi w:val="0"/>
        <w:adjustRightInd w:val="0"/>
        <w:snapToGrid w:val="0"/>
        <w:spacing w:line="360" w:lineRule="auto"/>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图</w:t>
      </w:r>
      <w:r>
        <w:rPr>
          <w:rFonts w:hint="default" w:ascii="Times New Roman" w:hAnsi="Times New Roman" w:cs="Times New Roman"/>
          <w:color w:val="auto"/>
          <w:kern w:val="0"/>
          <w:sz w:val="18"/>
          <w:szCs w:val="18"/>
          <w:highlight w:val="none"/>
          <w:lang w:eastAsia="zh-CN"/>
        </w:rPr>
        <w:t>7.3</w:t>
      </w:r>
      <w:r>
        <w:rPr>
          <w:rFonts w:ascii="Times New Roman" w:hAnsi="Times New Roman" w:cs="Times New Roman"/>
          <w:color w:val="auto"/>
          <w:kern w:val="0"/>
          <w:sz w:val="18"/>
          <w:szCs w:val="18"/>
          <w:highlight w:val="none"/>
        </w:rPr>
        <w:t>.2  弹簧式压缩徐变仪</w:t>
      </w:r>
    </w:p>
    <w:p w14:paraId="5235FB92">
      <w:pPr>
        <w:kinsoku/>
        <w:overflowPunct/>
        <w:topLinePunct/>
        <w:bidi w:val="0"/>
        <w:adjustRightInd w:val="0"/>
        <w:snapToGrid w:val="0"/>
        <w:spacing w:line="360" w:lineRule="auto"/>
        <w:ind w:firstLine="300" w:firstLineChars="200"/>
        <w:jc w:val="center"/>
        <w:rPr>
          <w:rFonts w:ascii="Times New Roman" w:hAnsi="Times New Roman" w:cs="Times New Roman"/>
          <w:color w:val="auto"/>
          <w:kern w:val="0"/>
          <w:sz w:val="15"/>
          <w:szCs w:val="15"/>
          <w:highlight w:val="none"/>
        </w:rPr>
      </w:pPr>
      <w:r>
        <w:rPr>
          <w:rFonts w:ascii="Times New Roman" w:hAnsi="Times New Roman" w:cs="Times New Roman"/>
          <w:color w:val="auto"/>
          <w:kern w:val="0"/>
          <w:sz w:val="15"/>
          <w:szCs w:val="15"/>
          <w:highlight w:val="none"/>
        </w:rPr>
        <w:t>1－螺母；2－上压板；3－丝杆；4－试件；5－球铰；6－垫板</w:t>
      </w:r>
    </w:p>
    <w:p w14:paraId="10B50A6A">
      <w:pPr>
        <w:kinsoku/>
        <w:overflowPunct/>
        <w:topLinePunct/>
        <w:bidi w:val="0"/>
        <w:adjustRightInd w:val="0"/>
        <w:snapToGrid w:val="0"/>
        <w:spacing w:line="360" w:lineRule="auto"/>
        <w:ind w:firstLine="300" w:firstLineChars="200"/>
        <w:jc w:val="center"/>
        <w:rPr>
          <w:rFonts w:ascii="Times New Roman" w:hAnsi="Times New Roman" w:cs="Times New Roman"/>
          <w:color w:val="auto"/>
          <w:kern w:val="0"/>
          <w:sz w:val="15"/>
          <w:szCs w:val="15"/>
          <w:highlight w:val="none"/>
        </w:rPr>
      </w:pPr>
      <w:r>
        <w:rPr>
          <w:rFonts w:ascii="Times New Roman" w:hAnsi="Times New Roman" w:cs="Times New Roman"/>
          <w:color w:val="auto"/>
          <w:kern w:val="0"/>
          <w:sz w:val="15"/>
          <w:szCs w:val="15"/>
          <w:highlight w:val="none"/>
        </w:rPr>
        <w:t>7－定心；8－下压板；9－弹簧；10－底盘；11－球铰</w:t>
      </w:r>
    </w:p>
    <w:p w14:paraId="5C2BA613">
      <w:pPr>
        <w:kinsoku/>
        <w:overflowPunct/>
        <w:topLinePunct/>
        <w:bidi w:val="0"/>
        <w:adjustRightInd w:val="0"/>
        <w:snapToGrid w:val="0"/>
        <w:spacing w:line="360" w:lineRule="auto"/>
        <w:jc w:val="center"/>
        <w:rPr>
          <w:rFonts w:ascii="Times New Roman" w:hAnsi="Times New Roman" w:cs="Times New Roman"/>
          <w:color w:val="auto"/>
          <w:highlight w:val="none"/>
        </w:rPr>
      </w:pPr>
    </w:p>
    <w:p w14:paraId="5EC90174">
      <w:pPr>
        <w:kinsoku/>
        <w:overflowPunct/>
        <w:topLinePunct/>
        <w:bidi w:val="0"/>
        <w:adjustRightInd w:val="0"/>
        <w:snapToGrid w:val="0"/>
        <w:spacing w:line="360" w:lineRule="auto"/>
        <w:ind w:firstLine="630" w:firstLineChars="300"/>
        <w:rPr>
          <w:rFonts w:ascii="Times New Roman" w:hAnsi="Times New Roman" w:cs="Times New Roman"/>
          <w:color w:val="auto"/>
          <w:highlight w:val="none"/>
        </w:rPr>
      </w:pPr>
      <w:r>
        <w:rPr>
          <w:rFonts w:ascii="Times New Roman" w:hAnsi="Times New Roman" w:cs="Times New Roman"/>
          <w:color w:val="auto"/>
          <w:highlight w:val="none"/>
        </w:rPr>
        <w:t>2）油压千斤顶可采用一般的起重千斤顶，其吨位应大于所要求的试验荷载。</w:t>
      </w:r>
    </w:p>
    <w:p w14:paraId="608A44B8">
      <w:pPr>
        <w:kinsoku/>
        <w:overflowPunct/>
        <w:topLinePunct/>
        <w:bidi w:val="0"/>
        <w:adjustRightInd w:val="0"/>
        <w:snapToGrid w:val="0"/>
        <w:spacing w:line="360" w:lineRule="auto"/>
        <w:ind w:left="630" w:leftChars="300"/>
        <w:rPr>
          <w:rFonts w:ascii="Times New Roman" w:hAnsi="Times New Roman" w:cs="Times New Roman"/>
          <w:color w:val="auto"/>
          <w:kern w:val="0"/>
          <w:highlight w:val="none"/>
        </w:rPr>
      </w:pPr>
      <w:r>
        <w:rPr>
          <w:rFonts w:ascii="Times New Roman" w:hAnsi="Times New Roman" w:cs="Times New Roman"/>
          <w:color w:val="auto"/>
          <w:highlight w:val="none"/>
        </w:rPr>
        <w:t>3）测力装置可采用钢环测力计、荷载传感器或</w:t>
      </w:r>
      <w:r>
        <w:rPr>
          <w:rFonts w:hint="default" w:ascii="Times New Roman" w:hAnsi="Times New Roman" w:cs="Times New Roman"/>
          <w:color w:val="auto"/>
          <w:highlight w:val="none"/>
          <w:lang w:eastAsia="zh-CN"/>
        </w:rPr>
        <w:t>其他</w:t>
      </w:r>
      <w:r>
        <w:rPr>
          <w:rFonts w:ascii="Times New Roman" w:hAnsi="Times New Roman" w:cs="Times New Roman"/>
          <w:color w:val="auto"/>
          <w:highlight w:val="none"/>
        </w:rPr>
        <w:t>形式的压力测定装置。其测量精度应达到所加荷载2％，</w:t>
      </w:r>
      <w:bookmarkStart w:id="130" w:name="_Toc146546884"/>
      <w:bookmarkStart w:id="131" w:name="_Toc197919646"/>
      <w:bookmarkStart w:id="132" w:name="_Toc146727244"/>
      <w:r>
        <w:rPr>
          <w:rFonts w:ascii="Times New Roman" w:hAnsi="Times New Roman" w:cs="Times New Roman"/>
          <w:color w:val="auto"/>
          <w:highlight w:val="none"/>
        </w:rPr>
        <w:t>试件破坏荷载不应小于测力装置全量程的20%</w:t>
      </w:r>
      <w:r>
        <w:rPr>
          <w:rFonts w:hint="default" w:ascii="Times New Roman" w:hAnsi="Times New Roman" w:cs="Times New Roman"/>
          <w:color w:val="auto"/>
          <w:highlight w:val="none"/>
          <w:lang w:eastAsia="zh-CN"/>
        </w:rPr>
        <w:t>，</w:t>
      </w:r>
      <w:r>
        <w:rPr>
          <w:rFonts w:ascii="Times New Roman" w:hAnsi="Times New Roman" w:cs="Times New Roman"/>
          <w:color w:val="auto"/>
          <w:highlight w:val="none"/>
        </w:rPr>
        <w:t>且不应大于测力装置全量程的80%。</w:t>
      </w:r>
    </w:p>
    <w:p w14:paraId="18B496F0">
      <w:pPr>
        <w:kinsoku/>
        <w:overflowPunct/>
        <w:topLinePunct/>
        <w:bidi w:val="0"/>
        <w:adjustRightInd w:val="0"/>
        <w:snapToGrid w:val="0"/>
        <w:spacing w:line="360" w:lineRule="auto"/>
        <w:ind w:firstLine="420" w:firstLineChars="200"/>
        <w:rPr>
          <w:rFonts w:ascii="Times New Roman" w:hAnsi="Times New Roman" w:cs="Times New Roman"/>
          <w:color w:val="auto"/>
          <w:highlight w:val="none"/>
        </w:rPr>
      </w:pPr>
      <w:r>
        <w:rPr>
          <w:rFonts w:ascii="Times New Roman" w:hAnsi="Times New Roman" w:eastAsia="黑体" w:cs="Times New Roman"/>
          <w:bCs/>
          <w:color w:val="auto"/>
          <w:szCs w:val="21"/>
          <w:highlight w:val="none"/>
        </w:rPr>
        <w:t>3</w:t>
      </w:r>
      <w:r>
        <w:rPr>
          <w:rFonts w:ascii="Times New Roman" w:hAnsi="Times New Roman" w:cs="Times New Roman"/>
          <w:b/>
          <w:color w:val="auto"/>
          <w:highlight w:val="none"/>
        </w:rPr>
        <w:t xml:space="preserve">  </w:t>
      </w:r>
      <w:bookmarkEnd w:id="130"/>
      <w:r>
        <w:rPr>
          <w:rFonts w:ascii="Times New Roman" w:hAnsi="Times New Roman" w:cs="Times New Roman"/>
          <w:color w:val="auto"/>
          <w:highlight w:val="none"/>
        </w:rPr>
        <w:t>变形测量装置</w:t>
      </w:r>
      <w:bookmarkEnd w:id="131"/>
      <w:bookmarkStart w:id="133" w:name="_Toc197919647"/>
      <w:r>
        <w:rPr>
          <w:rFonts w:ascii="Times New Roman" w:hAnsi="Times New Roman" w:cs="Times New Roman"/>
          <w:color w:val="auto"/>
          <w:highlight w:val="none"/>
        </w:rPr>
        <w:t>应符合下列规定：</w:t>
      </w:r>
    </w:p>
    <w:p w14:paraId="731CC674">
      <w:pPr>
        <w:kinsoku/>
        <w:overflowPunct/>
        <w:topLinePunct/>
        <w:bidi w:val="0"/>
        <w:adjustRightInd w:val="0"/>
        <w:snapToGrid w:val="0"/>
        <w:spacing w:line="360" w:lineRule="auto"/>
        <w:ind w:left="630" w:leftChars="300"/>
        <w:rPr>
          <w:rFonts w:ascii="Times New Roman" w:hAnsi="Times New Roman" w:cs="Times New Roman"/>
          <w:color w:val="auto"/>
          <w:kern w:val="0"/>
          <w:highlight w:val="none"/>
        </w:rPr>
      </w:pPr>
      <w:r>
        <w:rPr>
          <w:rFonts w:ascii="Times New Roman" w:hAnsi="Times New Roman" w:cs="Times New Roman"/>
          <w:color w:val="auto"/>
          <w:highlight w:val="none"/>
        </w:rPr>
        <w:t>1</w:t>
      </w:r>
      <w:r>
        <w:rPr>
          <w:rFonts w:ascii="Times New Roman" w:hAnsi="Times New Roman" w:cs="Times New Roman"/>
          <w:color w:val="auto"/>
          <w:kern w:val="0"/>
          <w:highlight w:val="none"/>
        </w:rPr>
        <w:t>）</w:t>
      </w:r>
      <w:r>
        <w:rPr>
          <w:rFonts w:ascii="Times New Roman" w:hAnsi="Times New Roman" w:cs="Times New Roman"/>
          <w:color w:val="auto"/>
          <w:highlight w:val="none"/>
        </w:rPr>
        <w:t>变形测量装置可采用</w:t>
      </w:r>
      <w:r>
        <w:rPr>
          <w:rFonts w:ascii="Times New Roman" w:hAnsi="Times New Roman" w:cs="Times New Roman"/>
          <w:color w:val="auto"/>
          <w:kern w:val="0"/>
          <w:highlight w:val="none"/>
        </w:rPr>
        <w:t>外装式、内埋式或便携式</w:t>
      </w:r>
      <w:r>
        <w:rPr>
          <w:rFonts w:ascii="Times New Roman" w:hAnsi="Times New Roman" w:cs="Times New Roman"/>
          <w:color w:val="auto"/>
          <w:highlight w:val="none"/>
        </w:rPr>
        <w:t>，其测量的应变值精度</w:t>
      </w:r>
      <w:r>
        <w:rPr>
          <w:rFonts w:hint="default" w:ascii="Times New Roman" w:hAnsi="Times New Roman" w:cs="Times New Roman"/>
          <w:color w:val="auto"/>
          <w:highlight w:val="none"/>
          <w:lang w:val="en-US" w:eastAsia="zh-CN"/>
        </w:rPr>
        <w:t>为</w:t>
      </w:r>
      <w:r>
        <w:rPr>
          <w:rFonts w:ascii="Times New Roman" w:hAnsi="Times New Roman" w:cs="Times New Roman"/>
          <w:color w:val="auto"/>
          <w:kern w:val="0"/>
          <w:highlight w:val="none"/>
        </w:rPr>
        <w:t>1.0</w:t>
      </w:r>
      <w:r>
        <w:rPr>
          <w:rFonts w:ascii="Times New Roman" w:hAnsi="Times New Roman" w:cs="Times New Roman"/>
          <w:color w:val="auto"/>
          <w:kern w:val="0"/>
          <w:highlight w:val="none"/>
        </w:rPr>
        <w:sym w:font="Symbol" w:char="F0B4"/>
      </w:r>
      <w:r>
        <w:rPr>
          <w:rFonts w:ascii="Times New Roman" w:hAnsi="Times New Roman" w:cs="Times New Roman"/>
          <w:color w:val="auto"/>
          <w:kern w:val="0"/>
          <w:highlight w:val="none"/>
        </w:rPr>
        <w:t>10</w:t>
      </w:r>
      <w:r>
        <w:rPr>
          <w:rFonts w:ascii="Times New Roman" w:hAnsi="Times New Roman" w:cs="Times New Roman"/>
          <w:color w:val="auto"/>
          <w:kern w:val="0"/>
          <w:highlight w:val="none"/>
          <w:vertAlign w:val="superscript"/>
        </w:rPr>
        <w:t>-6</w:t>
      </w:r>
      <w:r>
        <w:rPr>
          <w:rFonts w:ascii="Times New Roman" w:hAnsi="Times New Roman" w:cs="Times New Roman"/>
          <w:color w:val="auto"/>
          <w:kern w:val="0"/>
          <w:highlight w:val="none"/>
        </w:rPr>
        <w:t>。</w:t>
      </w:r>
      <w:bookmarkEnd w:id="132"/>
      <w:bookmarkEnd w:id="133"/>
    </w:p>
    <w:p w14:paraId="73EA2320">
      <w:pPr>
        <w:kinsoku/>
        <w:overflowPunct/>
        <w:topLinePunct/>
        <w:bidi w:val="0"/>
        <w:adjustRightInd w:val="0"/>
        <w:snapToGrid w:val="0"/>
        <w:spacing w:line="360" w:lineRule="auto"/>
        <w:ind w:left="630" w:leftChars="300"/>
        <w:rPr>
          <w:rFonts w:ascii="Times New Roman" w:hAnsi="Times New Roman" w:cs="Times New Roman"/>
          <w:color w:val="auto"/>
          <w:kern w:val="0"/>
          <w:highlight w:val="none"/>
        </w:rPr>
      </w:pPr>
      <w:r>
        <w:rPr>
          <w:rFonts w:ascii="Times New Roman" w:hAnsi="Times New Roman" w:cs="Times New Roman"/>
          <w:color w:val="auto"/>
          <w:kern w:val="0"/>
          <w:highlight w:val="none"/>
        </w:rPr>
        <w:t>2）采用外装式变形测</w:t>
      </w:r>
      <w:r>
        <w:rPr>
          <w:rFonts w:ascii="Times New Roman" w:hAnsi="Times New Roman" w:cs="Times New Roman"/>
          <w:color w:val="auto"/>
          <w:highlight w:val="none"/>
        </w:rPr>
        <w:t>量</w:t>
      </w:r>
      <w:r>
        <w:rPr>
          <w:rFonts w:ascii="Times New Roman" w:hAnsi="Times New Roman" w:cs="Times New Roman"/>
          <w:color w:val="auto"/>
          <w:kern w:val="0"/>
          <w:highlight w:val="none"/>
        </w:rPr>
        <w:t>装置时，应测量不少于两个均匀布置在试件周边的基线的应变。测点应布置在试件纵向表面的纵轴上，且应与试件端头等距，与相邻试件端头的距离不应小于一个截面边长。</w:t>
      </w:r>
    </w:p>
    <w:p w14:paraId="1EABBC3E">
      <w:pPr>
        <w:kinsoku/>
        <w:overflowPunct/>
        <w:topLinePunct/>
        <w:bidi w:val="0"/>
        <w:adjustRightInd w:val="0"/>
        <w:snapToGrid w:val="0"/>
        <w:spacing w:line="360" w:lineRule="auto"/>
        <w:ind w:left="630" w:leftChars="300"/>
        <w:rPr>
          <w:rFonts w:ascii="Times New Roman" w:hAnsi="Times New Roman" w:cs="Times New Roman"/>
          <w:color w:val="auto"/>
          <w:highlight w:val="none"/>
        </w:rPr>
      </w:pPr>
      <w:r>
        <w:rPr>
          <w:rFonts w:ascii="Times New Roman" w:hAnsi="Times New Roman" w:cs="Times New Roman"/>
          <w:color w:val="auto"/>
          <w:highlight w:val="none"/>
        </w:rPr>
        <w:t>3）采用差动式应变计或钢弦式应变计等内埋式变形测量装置时</w:t>
      </w:r>
      <w:r>
        <w:rPr>
          <w:rFonts w:ascii="Times New Roman" w:hAnsi="Times New Roman" w:cs="Times New Roman"/>
          <w:color w:val="auto"/>
          <w:kern w:val="0"/>
          <w:highlight w:val="none"/>
        </w:rPr>
        <w:t>，</w:t>
      </w:r>
      <w:r>
        <w:rPr>
          <w:rFonts w:ascii="Times New Roman" w:hAnsi="Times New Roman" w:cs="Times New Roman"/>
          <w:color w:val="auto"/>
          <w:highlight w:val="none"/>
        </w:rPr>
        <w:t>应在试件成型时可靠固定该装置，应使其测量基线位于试件中部并与试件纵轴重合。</w:t>
      </w:r>
    </w:p>
    <w:p w14:paraId="3568DF50">
      <w:pPr>
        <w:kinsoku/>
        <w:overflowPunct/>
        <w:topLinePunct/>
        <w:bidi w:val="0"/>
        <w:adjustRightInd w:val="0"/>
        <w:snapToGrid w:val="0"/>
        <w:spacing w:line="360" w:lineRule="auto"/>
        <w:ind w:left="630" w:leftChars="300"/>
        <w:rPr>
          <w:rFonts w:ascii="Times New Roman" w:hAnsi="Times New Roman" w:cs="Times New Roman"/>
          <w:color w:val="auto"/>
          <w:highlight w:val="none"/>
        </w:rPr>
      </w:pPr>
      <w:r>
        <w:rPr>
          <w:rFonts w:ascii="Times New Roman" w:hAnsi="Times New Roman" w:cs="Times New Roman"/>
          <w:color w:val="auto"/>
          <w:kern w:val="0"/>
          <w:highlight w:val="none"/>
        </w:rPr>
        <w:t>4）采用</w:t>
      </w:r>
      <w:r>
        <w:rPr>
          <w:rFonts w:ascii="Times New Roman" w:hAnsi="Times New Roman" w:cs="Times New Roman"/>
          <w:color w:val="auto"/>
          <w:highlight w:val="none"/>
        </w:rPr>
        <w:t>接触</w:t>
      </w:r>
      <w:r>
        <w:rPr>
          <w:rFonts w:hint="default" w:ascii="Times New Roman" w:hAnsi="Times New Roman" w:cs="Times New Roman"/>
          <w:color w:val="auto"/>
          <w:highlight w:val="none"/>
          <w:lang w:val="en-US" w:eastAsia="zh-CN"/>
        </w:rPr>
        <w:t>式</w:t>
      </w:r>
      <w:r>
        <w:rPr>
          <w:rFonts w:ascii="Times New Roman" w:hAnsi="Times New Roman" w:cs="Times New Roman"/>
          <w:color w:val="auto"/>
          <w:highlight w:val="none"/>
        </w:rPr>
        <w:t>引伸仪等</w:t>
      </w:r>
      <w:r>
        <w:rPr>
          <w:rFonts w:ascii="Times New Roman" w:hAnsi="Times New Roman" w:cs="Times New Roman"/>
          <w:color w:val="auto"/>
          <w:kern w:val="0"/>
          <w:highlight w:val="none"/>
        </w:rPr>
        <w:t>便携式变形测</w:t>
      </w:r>
      <w:r>
        <w:rPr>
          <w:rFonts w:ascii="Times New Roman" w:hAnsi="Times New Roman" w:cs="Times New Roman"/>
          <w:color w:val="auto"/>
          <w:highlight w:val="none"/>
        </w:rPr>
        <w:t>量</w:t>
      </w:r>
      <w:r>
        <w:rPr>
          <w:rFonts w:ascii="Times New Roman" w:hAnsi="Times New Roman" w:cs="Times New Roman"/>
          <w:color w:val="auto"/>
          <w:kern w:val="0"/>
          <w:highlight w:val="none"/>
        </w:rPr>
        <w:t>装置时，测头应牢固附置在试件上</w:t>
      </w:r>
      <w:r>
        <w:rPr>
          <w:rFonts w:ascii="Times New Roman" w:hAnsi="Times New Roman" w:cs="Times New Roman"/>
          <w:color w:val="auto"/>
          <w:highlight w:val="none"/>
        </w:rPr>
        <w:t>。</w:t>
      </w:r>
    </w:p>
    <w:p w14:paraId="7EBBB16E">
      <w:pPr>
        <w:kinsoku/>
        <w:overflowPunct/>
        <w:topLinePunct/>
        <w:bidi w:val="0"/>
        <w:adjustRightInd w:val="0"/>
        <w:snapToGrid w:val="0"/>
        <w:spacing w:line="360" w:lineRule="auto"/>
        <w:ind w:firstLine="630" w:firstLineChars="300"/>
        <w:rPr>
          <w:rFonts w:ascii="Times New Roman" w:hAnsi="Times New Roman" w:cs="Times New Roman"/>
          <w:color w:val="auto"/>
          <w:kern w:val="0"/>
          <w:highlight w:val="none"/>
        </w:rPr>
      </w:pPr>
      <w:r>
        <w:rPr>
          <w:rFonts w:ascii="Times New Roman" w:hAnsi="Times New Roman" w:cs="Times New Roman"/>
          <w:color w:val="auto"/>
          <w:kern w:val="0"/>
          <w:highlight w:val="none"/>
        </w:rPr>
        <w:t>5）测</w:t>
      </w:r>
      <w:r>
        <w:rPr>
          <w:rFonts w:ascii="Times New Roman" w:hAnsi="Times New Roman" w:cs="Times New Roman"/>
          <w:color w:val="auto"/>
          <w:highlight w:val="none"/>
        </w:rPr>
        <w:t>量</w:t>
      </w:r>
      <w:r>
        <w:rPr>
          <w:rFonts w:ascii="Times New Roman" w:hAnsi="Times New Roman" w:cs="Times New Roman"/>
          <w:color w:val="auto"/>
          <w:kern w:val="0"/>
          <w:highlight w:val="none"/>
        </w:rPr>
        <w:t>标距不</w:t>
      </w:r>
      <w:r>
        <w:rPr>
          <w:rFonts w:hint="default" w:ascii="Times New Roman" w:hAnsi="Times New Roman" w:cs="Times New Roman"/>
          <w:color w:val="auto"/>
          <w:kern w:val="0"/>
          <w:highlight w:val="none"/>
          <w:lang w:val="en-US" w:eastAsia="zh-CN"/>
        </w:rPr>
        <w:t>应小</w:t>
      </w:r>
      <w:r>
        <w:rPr>
          <w:rFonts w:ascii="Times New Roman" w:hAnsi="Times New Roman" w:cs="Times New Roman"/>
          <w:color w:val="auto"/>
          <w:kern w:val="0"/>
          <w:highlight w:val="none"/>
        </w:rPr>
        <w:t>于100 mm。</w:t>
      </w:r>
      <w:bookmarkStart w:id="134" w:name="_Toc146546885"/>
      <w:bookmarkStart w:id="135" w:name="_Toc146727245"/>
      <w:bookmarkStart w:id="136" w:name="_Toc197919648"/>
    </w:p>
    <w:p w14:paraId="2D960807">
      <w:pPr>
        <w:kinsoku/>
        <w:overflowPunct/>
        <w:topLinePunct/>
        <w:bidi w:val="0"/>
        <w:adjustRightInd w:val="0"/>
        <w:snapToGrid w:val="0"/>
        <w:spacing w:line="360" w:lineRule="auto"/>
        <w:rPr>
          <w:rFonts w:ascii="Times New Roman" w:hAnsi="Times New Roman" w:cs="Times New Roman"/>
          <w:color w:val="auto"/>
          <w:highlight w:val="none"/>
        </w:rPr>
      </w:pPr>
      <w:r>
        <w:rPr>
          <w:rFonts w:hint="default" w:ascii="Times New Roman" w:hAnsi="Times New Roman" w:eastAsia="黑体" w:cs="Times New Roman"/>
          <w:bCs/>
          <w:color w:val="auto"/>
          <w:szCs w:val="21"/>
          <w:highlight w:val="none"/>
          <w:lang w:eastAsia="zh-CN"/>
        </w:rPr>
        <w:t>7.</w:t>
      </w:r>
      <w:r>
        <w:rPr>
          <w:rFonts w:hint="eastAsia" w:eastAsia="黑体" w:cs="Times New Roman"/>
          <w:bCs/>
          <w:color w:val="auto"/>
          <w:szCs w:val="21"/>
          <w:highlight w:val="none"/>
          <w:lang w:val="en-US" w:eastAsia="zh-CN"/>
        </w:rPr>
        <w:t>4</w:t>
      </w:r>
      <w:r>
        <w:rPr>
          <w:rFonts w:ascii="Times New Roman" w:hAnsi="Times New Roman" w:eastAsia="黑体" w:cs="Times New Roman"/>
          <w:bCs/>
          <w:color w:val="auto"/>
          <w:szCs w:val="21"/>
          <w:highlight w:val="none"/>
        </w:rPr>
        <w:t xml:space="preserve">.3 </w:t>
      </w:r>
      <w:r>
        <w:rPr>
          <w:rFonts w:ascii="Times New Roman" w:hAnsi="Times New Roman" w:cs="Times New Roman"/>
          <w:color w:val="auto"/>
          <w:highlight w:val="none"/>
        </w:rPr>
        <w:t xml:space="preserve"> 试件</w:t>
      </w:r>
      <w:bookmarkEnd w:id="134"/>
      <w:r>
        <w:rPr>
          <w:rFonts w:ascii="Times New Roman" w:hAnsi="Times New Roman" w:cs="Times New Roman"/>
          <w:color w:val="auto"/>
          <w:highlight w:val="none"/>
        </w:rPr>
        <w:t>应符合下列规定：</w:t>
      </w:r>
      <w:bookmarkEnd w:id="135"/>
      <w:bookmarkEnd w:id="136"/>
      <w:bookmarkStart w:id="137" w:name="_Toc146546886"/>
      <w:bookmarkStart w:id="138" w:name="_Toc146727246"/>
      <w:bookmarkStart w:id="139" w:name="_Toc197919649"/>
    </w:p>
    <w:p w14:paraId="29DF4E55">
      <w:pPr>
        <w:kinsoku/>
        <w:overflowPunct/>
        <w:topLinePunct/>
        <w:bidi w:val="0"/>
        <w:adjustRightInd w:val="0"/>
        <w:snapToGrid w:val="0"/>
        <w:spacing w:line="360" w:lineRule="auto"/>
        <w:ind w:firstLine="420" w:firstLineChars="200"/>
        <w:rPr>
          <w:rFonts w:ascii="Times New Roman" w:hAnsi="Times New Roman" w:cs="Times New Roman"/>
          <w:b/>
          <w:bCs/>
          <w:color w:val="auto"/>
          <w:highlight w:val="none"/>
        </w:rPr>
      </w:pPr>
      <w:r>
        <w:rPr>
          <w:rFonts w:ascii="Times New Roman" w:hAnsi="Times New Roman" w:eastAsia="黑体" w:cs="Times New Roman"/>
          <w:bCs/>
          <w:color w:val="auto"/>
          <w:szCs w:val="21"/>
          <w:highlight w:val="none"/>
        </w:rPr>
        <w:t>1</w:t>
      </w:r>
      <w:r>
        <w:rPr>
          <w:rFonts w:ascii="Times New Roman" w:hAnsi="Times New Roman" w:cs="Times New Roman"/>
          <w:color w:val="auto"/>
          <w:highlight w:val="none"/>
        </w:rPr>
        <w:t xml:space="preserve">  试件的形状与尺寸</w:t>
      </w:r>
      <w:bookmarkEnd w:id="137"/>
      <w:r>
        <w:rPr>
          <w:rFonts w:ascii="Times New Roman" w:hAnsi="Times New Roman" w:cs="Times New Roman"/>
          <w:color w:val="auto"/>
          <w:highlight w:val="none"/>
        </w:rPr>
        <w:t>应符合下列规定：</w:t>
      </w:r>
      <w:bookmarkEnd w:id="138"/>
      <w:bookmarkEnd w:id="139"/>
    </w:p>
    <w:p w14:paraId="1DCF5ADE">
      <w:pPr>
        <w:kinsoku/>
        <w:overflowPunct/>
        <w:topLinePunct/>
        <w:bidi w:val="0"/>
        <w:adjustRightInd w:val="0"/>
        <w:snapToGrid w:val="0"/>
        <w:spacing w:line="360" w:lineRule="auto"/>
        <w:ind w:left="630" w:leftChars="300"/>
        <w:rPr>
          <w:rFonts w:ascii="Times New Roman" w:hAnsi="Times New Roman" w:cs="Times New Roman"/>
          <w:color w:val="auto"/>
          <w:highlight w:val="none"/>
        </w:rPr>
      </w:pPr>
      <w:r>
        <w:rPr>
          <w:rFonts w:ascii="Times New Roman" w:hAnsi="Times New Roman" w:cs="Times New Roman"/>
          <w:color w:val="auto"/>
          <w:highlight w:val="none"/>
        </w:rPr>
        <w:t>1）徐变试验应采用</w:t>
      </w:r>
      <w:r>
        <w:rPr>
          <w:rFonts w:hint="default" w:ascii="Times New Roman" w:hAnsi="Times New Roman" w:cs="Times New Roman"/>
          <w:color w:val="auto"/>
          <w:highlight w:val="none"/>
        </w:rPr>
        <w:t>尺寸为100mm×100mm×400mm的</w:t>
      </w:r>
      <w:r>
        <w:rPr>
          <w:rFonts w:ascii="Times New Roman" w:hAnsi="Times New Roman" w:cs="Times New Roman"/>
          <w:color w:val="auto"/>
          <w:highlight w:val="none"/>
        </w:rPr>
        <w:t>棱柱体试件。</w:t>
      </w:r>
    </w:p>
    <w:p w14:paraId="35220F0F">
      <w:pPr>
        <w:kinsoku/>
        <w:overflowPunct/>
        <w:topLinePunct/>
        <w:bidi w:val="0"/>
        <w:adjustRightInd w:val="0"/>
        <w:snapToGrid w:val="0"/>
        <w:spacing w:line="360" w:lineRule="auto"/>
        <w:ind w:left="630" w:leftChars="300"/>
        <w:rPr>
          <w:rFonts w:ascii="Times New Roman" w:hAnsi="Times New Roman" w:cs="Times New Roman"/>
          <w:color w:val="auto"/>
          <w:kern w:val="0"/>
          <w:highlight w:val="none"/>
        </w:rPr>
      </w:pPr>
      <w:r>
        <w:rPr>
          <w:rFonts w:ascii="Times New Roman" w:hAnsi="Times New Roman" w:cs="Times New Roman"/>
          <w:color w:val="auto"/>
          <w:kern w:val="0"/>
          <w:highlight w:val="none"/>
        </w:rPr>
        <w:t>2）当试件叠放时，每叠试件端头的试件和压板之间应加装一个未安装应变测量仪表的辅助性</w:t>
      </w:r>
      <w:r>
        <w:rPr>
          <w:rFonts w:hint="default" w:ascii="Times New Roman" w:hAnsi="Times New Roman" w:cs="Times New Roman"/>
          <w:color w:val="auto"/>
          <w:kern w:val="0"/>
          <w:highlight w:val="none"/>
          <w:lang w:eastAsia="zh-CN"/>
        </w:rPr>
        <w:t>超高性能混凝土</w:t>
      </w:r>
      <w:r>
        <w:rPr>
          <w:rFonts w:ascii="Times New Roman" w:hAnsi="Times New Roman" w:cs="Times New Roman"/>
          <w:color w:val="auto"/>
          <w:kern w:val="0"/>
          <w:highlight w:val="none"/>
        </w:rPr>
        <w:t>垫块，</w:t>
      </w:r>
      <w:r>
        <w:rPr>
          <w:rFonts w:hint="default" w:ascii="Times New Roman" w:hAnsi="Times New Roman" w:cs="Times New Roman"/>
          <w:color w:val="auto"/>
          <w:kern w:val="0"/>
          <w:highlight w:val="none"/>
          <w:lang w:val="en-US" w:eastAsia="zh-CN"/>
        </w:rPr>
        <w:t>垫块的</w:t>
      </w:r>
      <w:r>
        <w:rPr>
          <w:rFonts w:ascii="Times New Roman" w:hAnsi="Times New Roman" w:cs="Times New Roman"/>
          <w:color w:val="auto"/>
          <w:kern w:val="0"/>
          <w:highlight w:val="none"/>
        </w:rPr>
        <w:t>截面边长尺寸应与被测试件相同，</w:t>
      </w:r>
      <w:r>
        <w:rPr>
          <w:rFonts w:hint="default" w:ascii="Times New Roman" w:hAnsi="Times New Roman" w:cs="Times New Roman"/>
          <w:color w:val="auto"/>
          <w:kern w:val="0"/>
          <w:highlight w:val="none"/>
          <w:lang w:val="en-US" w:eastAsia="zh-CN"/>
        </w:rPr>
        <w:t>垫块的</w:t>
      </w:r>
      <w:r>
        <w:rPr>
          <w:rFonts w:ascii="Times New Roman" w:hAnsi="Times New Roman" w:cs="Times New Roman"/>
          <w:color w:val="auto"/>
          <w:kern w:val="0"/>
          <w:highlight w:val="none"/>
        </w:rPr>
        <w:t>长度应</w:t>
      </w:r>
      <w:r>
        <w:rPr>
          <w:rFonts w:hint="default" w:ascii="Times New Roman" w:hAnsi="Times New Roman" w:cs="Times New Roman"/>
          <w:color w:val="auto"/>
          <w:kern w:val="0"/>
          <w:highlight w:val="none"/>
          <w:lang w:val="en-US" w:eastAsia="zh-CN"/>
        </w:rPr>
        <w:t>不小于</w:t>
      </w:r>
      <w:r>
        <w:rPr>
          <w:rFonts w:ascii="Times New Roman" w:hAnsi="Times New Roman" w:cs="Times New Roman"/>
          <w:color w:val="auto"/>
          <w:kern w:val="0"/>
          <w:highlight w:val="none"/>
        </w:rPr>
        <w:t>其截面</w:t>
      </w:r>
      <w:r>
        <w:rPr>
          <w:rFonts w:hint="default" w:ascii="Times New Roman" w:hAnsi="Times New Roman" w:cs="Times New Roman"/>
          <w:color w:val="auto"/>
          <w:kern w:val="0"/>
          <w:highlight w:val="none"/>
          <w:lang w:val="en-US" w:eastAsia="zh-CN"/>
        </w:rPr>
        <w:t>边长</w:t>
      </w:r>
      <w:r>
        <w:rPr>
          <w:rFonts w:ascii="Times New Roman" w:hAnsi="Times New Roman" w:cs="Times New Roman"/>
          <w:color w:val="auto"/>
          <w:kern w:val="0"/>
          <w:highlight w:val="none"/>
        </w:rPr>
        <w:t>尺寸的一半。</w:t>
      </w:r>
      <w:bookmarkStart w:id="140" w:name="_Toc146546887"/>
      <w:bookmarkStart w:id="141" w:name="_Toc197919650"/>
      <w:bookmarkStart w:id="142" w:name="_Toc146727247"/>
    </w:p>
    <w:p w14:paraId="213680C5">
      <w:pPr>
        <w:kinsoku/>
        <w:overflowPunct/>
        <w:topLinePunct/>
        <w:bidi w:val="0"/>
        <w:adjustRightInd w:val="0"/>
        <w:snapToGrid w:val="0"/>
        <w:spacing w:before="156" w:beforeLines="50" w:line="360" w:lineRule="auto"/>
        <w:ind w:left="630" w:leftChars="300"/>
        <w:rPr>
          <w:rFonts w:ascii="Times New Roman" w:hAnsi="Times New Roman" w:eastAsia="黑体" w:cs="Times New Roman"/>
          <w:color w:val="auto"/>
          <w:highlight w:val="none"/>
        </w:rPr>
      </w:pPr>
    </w:p>
    <w:p w14:paraId="4C87245C">
      <w:pPr>
        <w:kinsoku/>
        <w:overflowPunct/>
        <w:topLinePunct/>
        <w:bidi w:val="0"/>
        <w:adjustRightInd w:val="0"/>
        <w:snapToGrid w:val="0"/>
        <w:spacing w:line="360" w:lineRule="auto"/>
        <w:ind w:firstLine="420" w:firstLineChars="200"/>
        <w:rPr>
          <w:rFonts w:ascii="Times New Roman" w:hAnsi="Times New Roman" w:cs="Times New Roman"/>
          <w:color w:val="auto"/>
          <w:highlight w:val="none"/>
        </w:rPr>
      </w:pPr>
      <w:r>
        <w:rPr>
          <w:rFonts w:ascii="Times New Roman" w:hAnsi="Times New Roman" w:eastAsia="黑体" w:cs="Times New Roman"/>
          <w:bCs/>
          <w:color w:val="auto"/>
          <w:szCs w:val="21"/>
          <w:highlight w:val="none"/>
        </w:rPr>
        <w:t>2</w:t>
      </w:r>
      <w:r>
        <w:rPr>
          <w:rFonts w:ascii="Times New Roman" w:hAnsi="Times New Roman" w:cs="Times New Roman"/>
          <w:color w:val="auto"/>
          <w:highlight w:val="none"/>
        </w:rPr>
        <w:t xml:space="preserve">  试件数量</w:t>
      </w:r>
      <w:bookmarkEnd w:id="140"/>
      <w:r>
        <w:rPr>
          <w:rFonts w:ascii="Times New Roman" w:hAnsi="Times New Roman" w:cs="Times New Roman"/>
          <w:color w:val="auto"/>
          <w:highlight w:val="none"/>
        </w:rPr>
        <w:t>应符合下列规定：</w:t>
      </w:r>
      <w:bookmarkEnd w:id="141"/>
      <w:bookmarkEnd w:id="142"/>
    </w:p>
    <w:p w14:paraId="40F8C0C0">
      <w:pPr>
        <w:kinsoku/>
        <w:overflowPunct/>
        <w:topLinePunct/>
        <w:bidi w:val="0"/>
        <w:adjustRightInd w:val="0"/>
        <w:snapToGrid w:val="0"/>
        <w:spacing w:line="360" w:lineRule="auto"/>
        <w:ind w:firstLine="630" w:firstLineChars="300"/>
        <w:rPr>
          <w:rFonts w:ascii="Times New Roman" w:hAnsi="Times New Roman" w:cs="Times New Roman"/>
          <w:color w:val="auto"/>
          <w:highlight w:val="none"/>
        </w:rPr>
      </w:pPr>
      <w:r>
        <w:rPr>
          <w:rFonts w:ascii="Times New Roman" w:hAnsi="Times New Roman" w:cs="Times New Roman"/>
          <w:color w:val="auto"/>
          <w:highlight w:val="none"/>
        </w:rPr>
        <w:t>1）制作徐变试件时，应同时制作相应的棱柱体</w:t>
      </w:r>
      <w:r>
        <w:rPr>
          <w:rFonts w:hint="default" w:ascii="Times New Roman" w:hAnsi="Times New Roman" w:cs="Times New Roman"/>
          <w:color w:val="auto"/>
          <w:highlight w:val="none"/>
        </w:rPr>
        <w:t>轴心</w:t>
      </w:r>
      <w:r>
        <w:rPr>
          <w:rFonts w:ascii="Times New Roman" w:hAnsi="Times New Roman" w:cs="Times New Roman"/>
          <w:color w:val="auto"/>
          <w:highlight w:val="none"/>
        </w:rPr>
        <w:t>抗压</w:t>
      </w:r>
      <w:r>
        <w:rPr>
          <w:rFonts w:hint="default" w:ascii="Times New Roman" w:hAnsi="Times New Roman" w:cs="Times New Roman"/>
          <w:color w:val="auto"/>
          <w:highlight w:val="none"/>
        </w:rPr>
        <w:t>强度</w:t>
      </w:r>
      <w:r>
        <w:rPr>
          <w:rFonts w:ascii="Times New Roman" w:hAnsi="Times New Roman" w:cs="Times New Roman"/>
          <w:color w:val="auto"/>
          <w:highlight w:val="none"/>
        </w:rPr>
        <w:t>试件及收缩试件</w:t>
      </w:r>
      <w:r>
        <w:rPr>
          <w:rFonts w:hint="default" w:ascii="Times New Roman" w:hAnsi="Times New Roman" w:cs="Times New Roman"/>
          <w:color w:val="auto"/>
          <w:highlight w:val="none"/>
        </w:rPr>
        <w:t>，轴心</w:t>
      </w:r>
      <w:r>
        <w:rPr>
          <w:rFonts w:ascii="Times New Roman" w:hAnsi="Times New Roman" w:cs="Times New Roman"/>
          <w:color w:val="auto"/>
          <w:highlight w:val="none"/>
        </w:rPr>
        <w:t>抗压</w:t>
      </w:r>
      <w:r>
        <w:rPr>
          <w:rFonts w:hint="default" w:ascii="Times New Roman" w:hAnsi="Times New Roman" w:cs="Times New Roman"/>
          <w:color w:val="auto"/>
          <w:highlight w:val="none"/>
        </w:rPr>
        <w:t>强度</w:t>
      </w:r>
      <w:r>
        <w:rPr>
          <w:rFonts w:ascii="Times New Roman" w:hAnsi="Times New Roman" w:cs="Times New Roman"/>
          <w:color w:val="auto"/>
          <w:highlight w:val="none"/>
        </w:rPr>
        <w:t>试件</w:t>
      </w:r>
      <w:r>
        <w:rPr>
          <w:rFonts w:hint="default" w:ascii="Times New Roman" w:hAnsi="Times New Roman" w:cs="Times New Roman"/>
          <w:color w:val="auto"/>
          <w:highlight w:val="none"/>
        </w:rPr>
        <w:t>的截面尺寸宜与徐变试件一致</w:t>
      </w:r>
      <w:r>
        <w:rPr>
          <w:rFonts w:ascii="Times New Roman" w:hAnsi="Times New Roman" w:cs="Times New Roman"/>
          <w:color w:val="auto"/>
          <w:highlight w:val="none"/>
        </w:rPr>
        <w:t>。</w:t>
      </w:r>
    </w:p>
    <w:p w14:paraId="15B243F4">
      <w:pPr>
        <w:kinsoku/>
        <w:overflowPunct/>
        <w:topLinePunct/>
        <w:bidi w:val="0"/>
        <w:adjustRightInd w:val="0"/>
        <w:snapToGrid w:val="0"/>
        <w:spacing w:line="360" w:lineRule="auto"/>
        <w:ind w:firstLine="630" w:firstLineChars="300"/>
        <w:rPr>
          <w:rFonts w:ascii="Times New Roman" w:hAnsi="Times New Roman" w:cs="Times New Roman"/>
          <w:color w:val="auto"/>
          <w:highlight w:val="none"/>
        </w:rPr>
      </w:pPr>
      <w:r>
        <w:rPr>
          <w:rFonts w:ascii="Times New Roman" w:hAnsi="Times New Roman" w:cs="Times New Roman"/>
          <w:color w:val="auto"/>
          <w:highlight w:val="none"/>
        </w:rPr>
        <w:t>2）收缩试件应与徐变试件相同，并应装有与徐变试件相同的变形测量装置。</w:t>
      </w:r>
    </w:p>
    <w:p w14:paraId="411C1395">
      <w:pPr>
        <w:kinsoku/>
        <w:overflowPunct/>
        <w:topLinePunct/>
        <w:bidi w:val="0"/>
        <w:adjustRightInd w:val="0"/>
        <w:snapToGrid w:val="0"/>
        <w:spacing w:line="360" w:lineRule="auto"/>
        <w:ind w:left="630" w:leftChars="300"/>
        <w:rPr>
          <w:rFonts w:ascii="Times New Roman" w:hAnsi="Times New Roman" w:cs="Times New Roman"/>
          <w:color w:val="auto"/>
          <w:highlight w:val="none"/>
        </w:rPr>
      </w:pPr>
      <w:r>
        <w:rPr>
          <w:rFonts w:ascii="Times New Roman" w:hAnsi="Times New Roman" w:cs="Times New Roman"/>
          <w:color w:val="auto"/>
          <w:highlight w:val="none"/>
        </w:rPr>
        <w:t>3）每组棱柱体抗压、收缩和徐变试件的数量宜各为3个，其中每个加荷龄期的每组徐变试件应为2个。</w:t>
      </w:r>
      <w:bookmarkStart w:id="143" w:name="_Toc146546888"/>
      <w:bookmarkStart w:id="144" w:name="_Toc146727248"/>
      <w:bookmarkStart w:id="145" w:name="_Toc197919651"/>
    </w:p>
    <w:p w14:paraId="3822E54B">
      <w:pPr>
        <w:kinsoku/>
        <w:overflowPunct/>
        <w:topLinePunct/>
        <w:bidi w:val="0"/>
        <w:adjustRightInd w:val="0"/>
        <w:snapToGrid w:val="0"/>
        <w:spacing w:line="360" w:lineRule="auto"/>
        <w:ind w:firstLine="420" w:firstLineChars="200"/>
        <w:rPr>
          <w:rFonts w:ascii="Times New Roman" w:hAnsi="Times New Roman" w:cs="Times New Roman"/>
          <w:color w:val="auto"/>
          <w:highlight w:val="none"/>
        </w:rPr>
      </w:pPr>
      <w:r>
        <w:rPr>
          <w:rFonts w:ascii="Times New Roman" w:hAnsi="Times New Roman" w:eastAsia="黑体" w:cs="Times New Roman"/>
          <w:bCs/>
          <w:color w:val="auto"/>
          <w:szCs w:val="21"/>
          <w:highlight w:val="none"/>
        </w:rPr>
        <w:t>3</w:t>
      </w:r>
      <w:r>
        <w:rPr>
          <w:rFonts w:ascii="Times New Roman" w:hAnsi="Times New Roman" w:cs="Times New Roman"/>
          <w:color w:val="auto"/>
          <w:highlight w:val="none"/>
        </w:rPr>
        <w:t xml:space="preserve">  试件制备</w:t>
      </w:r>
      <w:bookmarkEnd w:id="143"/>
      <w:r>
        <w:rPr>
          <w:rFonts w:ascii="Times New Roman" w:hAnsi="Times New Roman" w:cs="Times New Roman"/>
          <w:color w:val="auto"/>
          <w:highlight w:val="none"/>
        </w:rPr>
        <w:t>应符合下列规定：</w:t>
      </w:r>
      <w:bookmarkEnd w:id="144"/>
      <w:bookmarkEnd w:id="145"/>
    </w:p>
    <w:p w14:paraId="0DCE262C">
      <w:pPr>
        <w:kinsoku/>
        <w:overflowPunct/>
        <w:topLinePunct/>
        <w:bidi w:val="0"/>
        <w:adjustRightInd w:val="0"/>
        <w:snapToGrid w:val="0"/>
        <w:spacing w:line="360" w:lineRule="auto"/>
        <w:ind w:left="630" w:leftChars="300"/>
        <w:rPr>
          <w:rFonts w:ascii="Times New Roman" w:hAnsi="Times New Roman" w:cs="Times New Roman"/>
          <w:color w:val="auto"/>
          <w:kern w:val="0"/>
          <w:highlight w:val="none"/>
        </w:rPr>
      </w:pPr>
      <w:r>
        <w:rPr>
          <w:rFonts w:ascii="Times New Roman" w:hAnsi="Times New Roman" w:cs="Times New Roman"/>
          <w:color w:val="auto"/>
          <w:kern w:val="0"/>
          <w:highlight w:val="none"/>
        </w:rPr>
        <w:t>1）当叠放试件时，宜磨平其端头。</w:t>
      </w:r>
    </w:p>
    <w:p w14:paraId="0EDF7CD2">
      <w:pPr>
        <w:kinsoku/>
        <w:overflowPunct/>
        <w:topLinePunct/>
        <w:bidi w:val="0"/>
        <w:adjustRightInd w:val="0"/>
        <w:snapToGrid w:val="0"/>
        <w:spacing w:line="360" w:lineRule="auto"/>
        <w:ind w:left="630" w:leftChars="300"/>
        <w:rPr>
          <w:rFonts w:ascii="Times New Roman" w:hAnsi="Times New Roman" w:cs="Times New Roman"/>
          <w:color w:val="auto"/>
          <w:kern w:val="0"/>
          <w:highlight w:val="none"/>
        </w:rPr>
      </w:pPr>
      <w:r>
        <w:rPr>
          <w:rFonts w:ascii="Times New Roman" w:hAnsi="Times New Roman" w:cs="Times New Roman"/>
          <w:color w:val="auto"/>
          <w:kern w:val="0"/>
          <w:highlight w:val="none"/>
        </w:rPr>
        <w:t>2）徐变试件的受压面与相邻的纵向表面之间的角度与直角的偏差不应超过1 mm/100 mm。</w:t>
      </w:r>
    </w:p>
    <w:p w14:paraId="3C54AE7B">
      <w:pPr>
        <w:kinsoku/>
        <w:overflowPunct/>
        <w:topLinePunct/>
        <w:bidi w:val="0"/>
        <w:adjustRightInd w:val="0"/>
        <w:snapToGrid w:val="0"/>
        <w:spacing w:line="360" w:lineRule="auto"/>
        <w:ind w:left="630" w:leftChars="300"/>
        <w:rPr>
          <w:rFonts w:ascii="Times New Roman" w:hAnsi="Times New Roman" w:cs="Times New Roman"/>
          <w:color w:val="auto"/>
          <w:highlight w:val="none"/>
        </w:rPr>
      </w:pPr>
      <w:r>
        <w:rPr>
          <w:rFonts w:ascii="Times New Roman" w:hAnsi="Times New Roman" w:cs="Times New Roman"/>
          <w:color w:val="auto"/>
          <w:highlight w:val="none"/>
        </w:rPr>
        <w:t>3）采用外装式应变测量装置时，徐变试件两侧面应安装测头，测头宜采用埋入式，试模的侧壁应具有在成型时使测头定位的装置。在对粘结的工艺及材料确有把握时，可采用胶粘。</w:t>
      </w:r>
      <w:bookmarkStart w:id="146" w:name="_Toc146546889"/>
      <w:bookmarkStart w:id="147" w:name="_Toc146727249"/>
      <w:bookmarkStart w:id="148" w:name="_Toc197919652"/>
    </w:p>
    <w:p w14:paraId="1F97F772">
      <w:pPr>
        <w:kinsoku/>
        <w:overflowPunct/>
        <w:topLinePunct/>
        <w:bidi w:val="0"/>
        <w:adjustRightInd w:val="0"/>
        <w:snapToGrid w:val="0"/>
        <w:spacing w:line="360" w:lineRule="auto"/>
        <w:ind w:firstLine="420" w:firstLineChars="200"/>
        <w:rPr>
          <w:rFonts w:ascii="Times New Roman" w:hAnsi="Times New Roman" w:cs="Times New Roman"/>
          <w:color w:val="auto"/>
          <w:highlight w:val="none"/>
        </w:rPr>
      </w:pPr>
      <w:r>
        <w:rPr>
          <w:rFonts w:ascii="Times New Roman" w:hAnsi="Times New Roman" w:eastAsia="黑体" w:cs="Times New Roman"/>
          <w:bCs/>
          <w:color w:val="auto"/>
          <w:szCs w:val="21"/>
          <w:highlight w:val="none"/>
        </w:rPr>
        <w:t>4</w:t>
      </w:r>
      <w:r>
        <w:rPr>
          <w:rFonts w:ascii="Times New Roman" w:hAnsi="Times New Roman" w:cs="Times New Roman"/>
          <w:color w:val="auto"/>
          <w:highlight w:val="none"/>
        </w:rPr>
        <w:t xml:space="preserve">  试件的养护与存放</w:t>
      </w:r>
      <w:bookmarkEnd w:id="146"/>
      <w:r>
        <w:rPr>
          <w:rFonts w:ascii="Times New Roman" w:hAnsi="Times New Roman" w:cs="Times New Roman"/>
          <w:color w:val="auto"/>
          <w:highlight w:val="none"/>
        </w:rPr>
        <w:t>方式应符合下列规定：</w:t>
      </w:r>
      <w:bookmarkEnd w:id="147"/>
      <w:bookmarkEnd w:id="148"/>
      <w:bookmarkStart w:id="149" w:name="_Toc146546890"/>
      <w:bookmarkStart w:id="150" w:name="_Toc146727250"/>
      <w:bookmarkStart w:id="151" w:name="_Toc197919653"/>
    </w:p>
    <w:p w14:paraId="03C30A65">
      <w:pPr>
        <w:kinsoku/>
        <w:overflowPunct/>
        <w:topLinePunct/>
        <w:bidi w:val="0"/>
        <w:adjustRightInd w:val="0"/>
        <w:snapToGrid w:val="0"/>
        <w:spacing w:line="360" w:lineRule="auto"/>
        <w:ind w:firstLine="630" w:firstLineChars="300"/>
        <w:rPr>
          <w:rFonts w:ascii="Times New Roman" w:hAnsi="Times New Roman" w:cs="Times New Roman"/>
          <w:color w:val="auto"/>
          <w:highlight w:val="none"/>
        </w:rPr>
      </w:pPr>
      <w:r>
        <w:rPr>
          <w:rFonts w:ascii="Times New Roman" w:hAnsi="Times New Roman" w:cs="Times New Roman"/>
          <w:color w:val="auto"/>
          <w:highlight w:val="none"/>
        </w:rPr>
        <w:t>1）棱柱体</w:t>
      </w:r>
      <w:r>
        <w:rPr>
          <w:rFonts w:hint="default" w:ascii="Times New Roman" w:hAnsi="Times New Roman" w:cs="Times New Roman"/>
          <w:color w:val="auto"/>
          <w:highlight w:val="none"/>
        </w:rPr>
        <w:t>轴心</w:t>
      </w:r>
      <w:r>
        <w:rPr>
          <w:rFonts w:ascii="Times New Roman" w:hAnsi="Times New Roman" w:cs="Times New Roman"/>
          <w:color w:val="auto"/>
          <w:highlight w:val="none"/>
        </w:rPr>
        <w:t>抗压</w:t>
      </w:r>
      <w:r>
        <w:rPr>
          <w:rFonts w:hint="default" w:ascii="Times New Roman" w:hAnsi="Times New Roman" w:cs="Times New Roman"/>
          <w:color w:val="auto"/>
          <w:highlight w:val="none"/>
        </w:rPr>
        <w:t>强度</w:t>
      </w:r>
      <w:r>
        <w:rPr>
          <w:rFonts w:ascii="Times New Roman" w:hAnsi="Times New Roman" w:cs="Times New Roman"/>
          <w:color w:val="auto"/>
          <w:highlight w:val="none"/>
        </w:rPr>
        <w:t>试件及收缩试件应随徐变试件一并同条件养护。</w:t>
      </w:r>
    </w:p>
    <w:p w14:paraId="67D6CDED">
      <w:pPr>
        <w:kinsoku/>
        <w:overflowPunct/>
        <w:topLinePunct/>
        <w:bidi w:val="0"/>
        <w:adjustRightInd w:val="0"/>
        <w:snapToGrid w:val="0"/>
        <w:spacing w:line="360" w:lineRule="auto"/>
        <w:ind w:left="630" w:leftChars="300"/>
        <w:rPr>
          <w:rFonts w:ascii="Times New Roman" w:hAnsi="Times New Roman" w:cs="Times New Roman"/>
          <w:color w:val="auto"/>
          <w:kern w:val="0"/>
          <w:highlight w:val="none"/>
        </w:rPr>
      </w:pPr>
      <w:r>
        <w:rPr>
          <w:rFonts w:ascii="Times New Roman" w:hAnsi="Times New Roman" w:cs="Times New Roman"/>
          <w:color w:val="auto"/>
          <w:highlight w:val="none"/>
        </w:rPr>
        <w:t>2）</w:t>
      </w:r>
      <w:bookmarkEnd w:id="149"/>
      <w:r>
        <w:rPr>
          <w:rFonts w:ascii="Times New Roman" w:hAnsi="Times New Roman" w:cs="Times New Roman"/>
          <w:color w:val="auto"/>
          <w:highlight w:val="none"/>
        </w:rPr>
        <w:t>对于标准环境中的徐变，</w:t>
      </w:r>
      <w:r>
        <w:rPr>
          <w:rFonts w:ascii="Times New Roman" w:hAnsi="Times New Roman" w:cs="Times New Roman"/>
          <w:color w:val="auto"/>
          <w:kern w:val="0"/>
          <w:highlight w:val="none"/>
        </w:rPr>
        <w:t>试件应在成型后不少于24h且不多于48h时拆模，且在拆模前应覆盖试件表面。随后应</w:t>
      </w:r>
      <w:r>
        <w:rPr>
          <w:rFonts w:ascii="Times New Roman" w:hAnsi="Times New Roman" w:cs="Times New Roman"/>
          <w:color w:val="auto"/>
          <w:highlight w:val="none"/>
        </w:rPr>
        <w:t>立即将试件送入标准养护室养护到7d龄期，其中3d加载的徐变试验应养护3d。养护期间</w:t>
      </w:r>
      <w:r>
        <w:rPr>
          <w:rFonts w:ascii="Times New Roman" w:hAnsi="Times New Roman" w:cs="Times New Roman"/>
          <w:color w:val="auto"/>
          <w:kern w:val="0"/>
          <w:highlight w:val="none"/>
        </w:rPr>
        <w:t>试件不应浸泡于水中。试件养护完成</w:t>
      </w:r>
      <w:r>
        <w:rPr>
          <w:rFonts w:ascii="Times New Roman" w:hAnsi="Times New Roman" w:cs="Times New Roman"/>
          <w:color w:val="auto"/>
          <w:highlight w:val="none"/>
        </w:rPr>
        <w:t>后应移入温度为（20</w:t>
      </w:r>
      <w:r>
        <w:rPr>
          <w:rFonts w:ascii="Times New Roman" w:hAnsi="Times New Roman" w:cs="Times New Roman"/>
          <w:color w:val="auto"/>
          <w:highlight w:val="none"/>
        </w:rPr>
        <w:sym w:font="Symbol" w:char="F0B1"/>
      </w:r>
      <w:r>
        <w:rPr>
          <w:rFonts w:ascii="Times New Roman" w:hAnsi="Times New Roman" w:cs="Times New Roman"/>
          <w:color w:val="auto"/>
          <w:highlight w:val="none"/>
        </w:rPr>
        <w:t>2）</w:t>
      </w:r>
      <w:r>
        <w:rPr>
          <w:rFonts w:ascii="Times New Roman" w:hAnsi="Times New Roman" w:cs="Times New Roman"/>
          <w:color w:val="auto"/>
          <w:highlight w:val="none"/>
          <w:vertAlign w:val="superscript"/>
        </w:rPr>
        <w:t>o</w:t>
      </w:r>
      <w:r>
        <w:rPr>
          <w:rFonts w:ascii="Times New Roman" w:hAnsi="Times New Roman" w:cs="Times New Roman"/>
          <w:color w:val="auto"/>
          <w:highlight w:val="none"/>
        </w:rPr>
        <w:t>C、相对湿度为（</w:t>
      </w:r>
      <w:r>
        <w:rPr>
          <w:rFonts w:ascii="Times New Roman" w:hAnsi="Times New Roman" w:cs="Times New Roman"/>
          <w:color w:val="auto"/>
          <w:kern w:val="0"/>
          <w:highlight w:val="none"/>
        </w:rPr>
        <w:t>60</w:t>
      </w:r>
      <w:r>
        <w:rPr>
          <w:rFonts w:ascii="Times New Roman" w:hAnsi="Times New Roman" w:cs="Times New Roman"/>
          <w:color w:val="auto"/>
          <w:highlight w:val="none"/>
        </w:rPr>
        <w:sym w:font="Symbol" w:char="F0B1"/>
      </w:r>
      <w:r>
        <w:rPr>
          <w:rFonts w:ascii="Times New Roman" w:hAnsi="Times New Roman" w:cs="Times New Roman"/>
          <w:color w:val="auto"/>
          <w:kern w:val="0"/>
          <w:highlight w:val="none"/>
        </w:rPr>
        <w:t>5）％的</w:t>
      </w:r>
      <w:r>
        <w:rPr>
          <w:rFonts w:ascii="Times New Roman" w:hAnsi="Times New Roman" w:cs="Times New Roman"/>
          <w:color w:val="auto"/>
          <w:highlight w:val="none"/>
        </w:rPr>
        <w:t>恒温恒湿室进行徐变试验，</w:t>
      </w:r>
      <w:r>
        <w:rPr>
          <w:rFonts w:ascii="Times New Roman" w:hAnsi="Times New Roman" w:cs="Times New Roman"/>
          <w:color w:val="auto"/>
          <w:kern w:val="0"/>
          <w:highlight w:val="none"/>
        </w:rPr>
        <w:t>直至试验完成。</w:t>
      </w:r>
      <w:bookmarkEnd w:id="150"/>
      <w:bookmarkEnd w:id="151"/>
      <w:bookmarkStart w:id="152" w:name="_Toc146546891"/>
      <w:bookmarkStart w:id="153" w:name="_Toc197919654"/>
      <w:bookmarkStart w:id="154" w:name="_Toc146727251"/>
    </w:p>
    <w:p w14:paraId="3FE77047">
      <w:pPr>
        <w:kinsoku/>
        <w:overflowPunct/>
        <w:topLinePunct/>
        <w:bidi w:val="0"/>
        <w:adjustRightInd w:val="0"/>
        <w:snapToGrid w:val="0"/>
        <w:spacing w:line="360" w:lineRule="auto"/>
        <w:ind w:left="630" w:leftChars="300"/>
        <w:rPr>
          <w:rFonts w:ascii="Times New Roman" w:hAnsi="Times New Roman" w:cs="Times New Roman"/>
          <w:color w:val="auto"/>
          <w:highlight w:val="none"/>
        </w:rPr>
      </w:pPr>
      <w:r>
        <w:rPr>
          <w:rFonts w:ascii="Times New Roman" w:hAnsi="Times New Roman" w:cs="Times New Roman"/>
          <w:color w:val="auto"/>
          <w:highlight w:val="none"/>
        </w:rPr>
        <w:t>3）</w:t>
      </w:r>
      <w:bookmarkEnd w:id="152"/>
      <w:r>
        <w:rPr>
          <w:rFonts w:ascii="Times New Roman" w:hAnsi="Times New Roman" w:cs="Times New Roman"/>
          <w:color w:val="auto"/>
          <w:highlight w:val="none"/>
        </w:rPr>
        <w:t>对于适用于大体积</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内部情况的绝湿徐变，试件在制作或脱模后应密封在橡皮套</w:t>
      </w:r>
      <w:r>
        <w:rPr>
          <w:rFonts w:hint="default" w:ascii="Times New Roman" w:hAnsi="Times New Roman" w:cs="Times New Roman"/>
          <w:color w:val="auto"/>
          <w:highlight w:val="none"/>
        </w:rPr>
        <w:t>或</w:t>
      </w:r>
      <w:r>
        <w:rPr>
          <w:rFonts w:ascii="Times New Roman" w:hAnsi="Times New Roman" w:cs="Times New Roman"/>
          <w:color w:val="auto"/>
          <w:highlight w:val="none"/>
        </w:rPr>
        <w:t>金属套筒</w:t>
      </w:r>
      <w:r>
        <w:rPr>
          <w:rFonts w:hint="default" w:ascii="Times New Roman" w:hAnsi="Times New Roman" w:cs="Times New Roman"/>
          <w:color w:val="auto"/>
          <w:highlight w:val="none"/>
        </w:rPr>
        <w:t>等</w:t>
      </w:r>
      <w:r>
        <w:rPr>
          <w:rFonts w:ascii="Times New Roman" w:hAnsi="Times New Roman" w:cs="Times New Roman"/>
          <w:color w:val="auto"/>
          <w:highlight w:val="none"/>
        </w:rPr>
        <w:t>保湿外套中，且在整个试件存放和测试期间应保持密封。</w:t>
      </w:r>
      <w:bookmarkEnd w:id="153"/>
      <w:bookmarkEnd w:id="154"/>
      <w:bookmarkStart w:id="155" w:name="_Toc146546892"/>
      <w:bookmarkStart w:id="156" w:name="_Toc146727252"/>
      <w:bookmarkStart w:id="157" w:name="_Toc197919655"/>
    </w:p>
    <w:p w14:paraId="280CD9F1">
      <w:pPr>
        <w:kinsoku/>
        <w:overflowPunct/>
        <w:topLinePunct/>
        <w:bidi w:val="0"/>
        <w:adjustRightInd w:val="0"/>
        <w:snapToGrid w:val="0"/>
        <w:spacing w:line="360" w:lineRule="auto"/>
        <w:ind w:left="630" w:leftChars="300"/>
        <w:rPr>
          <w:rFonts w:ascii="Times New Roman" w:hAnsi="Times New Roman" w:cs="Times New Roman"/>
          <w:color w:val="auto"/>
          <w:kern w:val="0"/>
          <w:highlight w:val="none"/>
        </w:rPr>
      </w:pPr>
      <w:r>
        <w:rPr>
          <w:rFonts w:ascii="Times New Roman" w:hAnsi="Times New Roman" w:cs="Times New Roman"/>
          <w:color w:val="auto"/>
          <w:highlight w:val="none"/>
        </w:rPr>
        <w:t>4）</w:t>
      </w:r>
      <w:bookmarkEnd w:id="155"/>
      <w:r>
        <w:rPr>
          <w:rFonts w:ascii="Times New Roman" w:hAnsi="Times New Roman" w:cs="Times New Roman"/>
          <w:color w:val="auto"/>
          <w:highlight w:val="none"/>
        </w:rPr>
        <w:t>对于特定温度下的徐变，</w:t>
      </w:r>
      <w:r>
        <w:rPr>
          <w:rFonts w:ascii="Times New Roman" w:hAnsi="Times New Roman" w:cs="Times New Roman"/>
          <w:color w:val="auto"/>
          <w:kern w:val="0"/>
          <w:highlight w:val="none"/>
        </w:rPr>
        <w:t>应控制好试件存放的试验环境温度，使其符合</w:t>
      </w:r>
      <w:r>
        <w:rPr>
          <w:rFonts w:hint="default" w:ascii="Times New Roman" w:hAnsi="Times New Roman" w:cs="Times New Roman"/>
          <w:color w:val="auto"/>
          <w:kern w:val="0"/>
          <w:highlight w:val="none"/>
          <w:lang w:val="en-US" w:eastAsia="zh-CN"/>
        </w:rPr>
        <w:t>设计</w:t>
      </w:r>
      <w:r>
        <w:rPr>
          <w:rFonts w:ascii="Times New Roman" w:hAnsi="Times New Roman" w:cs="Times New Roman"/>
          <w:color w:val="auto"/>
          <w:kern w:val="0"/>
          <w:highlight w:val="none"/>
        </w:rPr>
        <w:t>的温度</w:t>
      </w:r>
      <w:r>
        <w:rPr>
          <w:rFonts w:hint="default" w:ascii="Times New Roman" w:hAnsi="Times New Roman" w:cs="Times New Roman"/>
          <w:color w:val="auto"/>
          <w:kern w:val="0"/>
          <w:highlight w:val="none"/>
          <w:lang w:val="en-US" w:eastAsia="zh-CN"/>
        </w:rPr>
        <w:t>历程</w:t>
      </w:r>
      <w:r>
        <w:rPr>
          <w:rFonts w:ascii="Times New Roman" w:hAnsi="Times New Roman" w:cs="Times New Roman"/>
          <w:color w:val="auto"/>
          <w:kern w:val="0"/>
          <w:highlight w:val="none"/>
        </w:rPr>
        <w:t>。</w:t>
      </w:r>
      <w:bookmarkEnd w:id="156"/>
      <w:bookmarkEnd w:id="157"/>
      <w:bookmarkStart w:id="158" w:name="_Toc146546893"/>
      <w:bookmarkStart w:id="159" w:name="_Toc197919656"/>
      <w:bookmarkStart w:id="160" w:name="_Toc146727253"/>
    </w:p>
    <w:p w14:paraId="3B80595F">
      <w:pPr>
        <w:kinsoku/>
        <w:overflowPunct/>
        <w:topLinePunct/>
        <w:bidi w:val="0"/>
        <w:adjustRightInd w:val="0"/>
        <w:snapToGrid w:val="0"/>
        <w:spacing w:line="360" w:lineRule="auto"/>
        <w:ind w:left="630" w:leftChars="300"/>
        <w:rPr>
          <w:rFonts w:ascii="Times New Roman" w:hAnsi="Times New Roman" w:cs="Times New Roman"/>
          <w:color w:val="auto"/>
          <w:highlight w:val="none"/>
        </w:rPr>
      </w:pPr>
      <w:r>
        <w:rPr>
          <w:rFonts w:ascii="Times New Roman" w:hAnsi="Times New Roman" w:cs="Times New Roman"/>
          <w:color w:val="auto"/>
          <w:highlight w:val="none"/>
        </w:rPr>
        <w:t>5）对于</w:t>
      </w:r>
      <w:r>
        <w:rPr>
          <w:rFonts w:hint="default" w:ascii="Times New Roman" w:hAnsi="Times New Roman" w:cs="Times New Roman"/>
          <w:color w:val="auto"/>
          <w:highlight w:val="none"/>
          <w:lang w:val="en-US" w:eastAsia="zh-CN"/>
        </w:rPr>
        <w:t>特定</w:t>
      </w:r>
      <w:r>
        <w:rPr>
          <w:rFonts w:ascii="Times New Roman" w:hAnsi="Times New Roman" w:cs="Times New Roman"/>
          <w:color w:val="auto"/>
          <w:highlight w:val="none"/>
        </w:rPr>
        <w:t>使用条件</w:t>
      </w:r>
      <w:r>
        <w:rPr>
          <w:rFonts w:hint="default" w:ascii="Times New Roman" w:hAnsi="Times New Roman" w:cs="Times New Roman"/>
          <w:color w:val="auto"/>
          <w:highlight w:val="none"/>
          <w:lang w:val="en-US" w:eastAsia="zh-CN"/>
        </w:rPr>
        <w:t>或存放条件</w:t>
      </w:r>
      <w:r>
        <w:rPr>
          <w:rFonts w:ascii="Times New Roman" w:hAnsi="Times New Roman" w:cs="Times New Roman"/>
          <w:color w:val="auto"/>
          <w:highlight w:val="none"/>
        </w:rPr>
        <w:t>下的徐变</w:t>
      </w:r>
      <w:bookmarkEnd w:id="158"/>
      <w:r>
        <w:rPr>
          <w:rFonts w:ascii="Times New Roman" w:hAnsi="Times New Roman" w:cs="Times New Roman"/>
          <w:color w:val="auto"/>
          <w:highlight w:val="none"/>
        </w:rPr>
        <w:t>，应根据具体情况确定试件的养护及试验制度。</w:t>
      </w:r>
      <w:bookmarkEnd w:id="159"/>
      <w:bookmarkEnd w:id="160"/>
      <w:bookmarkStart w:id="161" w:name="_Toc146546894"/>
      <w:bookmarkStart w:id="162" w:name="_Toc146727254"/>
      <w:bookmarkStart w:id="163" w:name="_Toc197919657"/>
    </w:p>
    <w:p w14:paraId="430597B2">
      <w:pPr>
        <w:kinsoku/>
        <w:overflowPunct/>
        <w:topLinePunct/>
        <w:bidi w:val="0"/>
        <w:adjustRightInd w:val="0"/>
        <w:snapToGrid w:val="0"/>
        <w:spacing w:line="360" w:lineRule="auto"/>
        <w:rPr>
          <w:rFonts w:ascii="Times New Roman" w:hAnsi="Times New Roman" w:cs="Times New Roman"/>
          <w:color w:val="auto"/>
          <w:highlight w:val="none"/>
        </w:rPr>
      </w:pPr>
      <w:r>
        <w:rPr>
          <w:rFonts w:hint="default" w:ascii="Times New Roman" w:hAnsi="Times New Roman" w:eastAsia="黑体" w:cs="Times New Roman"/>
          <w:bCs/>
          <w:color w:val="auto"/>
          <w:szCs w:val="21"/>
          <w:highlight w:val="none"/>
          <w:lang w:eastAsia="zh-CN"/>
        </w:rPr>
        <w:t>7.</w:t>
      </w:r>
      <w:r>
        <w:rPr>
          <w:rFonts w:hint="eastAsia" w:eastAsia="黑体" w:cs="Times New Roman"/>
          <w:bCs/>
          <w:color w:val="auto"/>
          <w:szCs w:val="21"/>
          <w:highlight w:val="none"/>
          <w:lang w:val="en-US" w:eastAsia="zh-CN"/>
        </w:rPr>
        <w:t>4</w:t>
      </w:r>
      <w:r>
        <w:rPr>
          <w:rFonts w:ascii="Times New Roman" w:hAnsi="Times New Roman" w:eastAsia="黑体" w:cs="Times New Roman"/>
          <w:bCs/>
          <w:color w:val="auto"/>
          <w:szCs w:val="21"/>
          <w:highlight w:val="none"/>
        </w:rPr>
        <w:t>.4</w:t>
      </w:r>
      <w:r>
        <w:rPr>
          <w:rFonts w:ascii="Times New Roman" w:hAnsi="Times New Roman" w:cs="Times New Roman"/>
          <w:b/>
          <w:color w:val="auto"/>
          <w:highlight w:val="none"/>
        </w:rPr>
        <w:t xml:space="preserve"> </w:t>
      </w:r>
      <w:r>
        <w:rPr>
          <w:rFonts w:ascii="Times New Roman" w:hAnsi="Times New Roman" w:cs="Times New Roman"/>
          <w:color w:val="auto"/>
          <w:highlight w:val="none"/>
        </w:rPr>
        <w:t xml:space="preserve"> 徐变试验</w:t>
      </w:r>
      <w:bookmarkEnd w:id="161"/>
      <w:r>
        <w:rPr>
          <w:rFonts w:ascii="Times New Roman" w:hAnsi="Times New Roman" w:cs="Times New Roman"/>
          <w:color w:val="auto"/>
          <w:highlight w:val="none"/>
        </w:rPr>
        <w:t>应符合下列规定：</w:t>
      </w:r>
      <w:bookmarkEnd w:id="162"/>
      <w:bookmarkEnd w:id="163"/>
      <w:bookmarkStart w:id="164" w:name="_Toc146546895"/>
      <w:bookmarkStart w:id="165" w:name="_Toc197919658"/>
      <w:bookmarkStart w:id="166" w:name="_Toc146727255"/>
    </w:p>
    <w:p w14:paraId="1F53FAA9">
      <w:pPr>
        <w:kinsoku/>
        <w:overflowPunct/>
        <w:topLinePunct/>
        <w:bidi w:val="0"/>
        <w:adjustRightInd w:val="0"/>
        <w:snapToGrid w:val="0"/>
        <w:spacing w:line="360" w:lineRule="auto"/>
        <w:ind w:firstLine="420" w:firstLineChars="200"/>
        <w:rPr>
          <w:rFonts w:ascii="Times New Roman" w:hAnsi="Times New Roman" w:cs="Times New Roman"/>
          <w:color w:val="auto"/>
          <w:highlight w:val="none"/>
        </w:rPr>
      </w:pPr>
      <w:r>
        <w:rPr>
          <w:rFonts w:ascii="Times New Roman" w:hAnsi="Times New Roman" w:eastAsia="黑体" w:cs="Times New Roman"/>
          <w:bCs/>
          <w:color w:val="auto"/>
          <w:szCs w:val="21"/>
          <w:highlight w:val="none"/>
        </w:rPr>
        <w:t xml:space="preserve">1 </w:t>
      </w:r>
      <w:r>
        <w:rPr>
          <w:rFonts w:ascii="Times New Roman" w:hAnsi="Times New Roman" w:cs="Times New Roman"/>
          <w:b/>
          <w:color w:val="auto"/>
          <w:highlight w:val="none"/>
        </w:rPr>
        <w:t xml:space="preserve"> </w:t>
      </w:r>
      <w:bookmarkEnd w:id="164"/>
      <w:r>
        <w:rPr>
          <w:rFonts w:ascii="Times New Roman" w:hAnsi="Times New Roman" w:cs="Times New Roman"/>
          <w:color w:val="auto"/>
          <w:highlight w:val="none"/>
        </w:rPr>
        <w:t>对比或检验</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的徐变性能时，试件应在28d龄期时加荷。当研究某一</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的徐变特性时，应制备5组徐变试件并分别在龄期为3d、7d、14d、28d、90d时加荷。</w:t>
      </w:r>
      <w:bookmarkEnd w:id="165"/>
      <w:bookmarkEnd w:id="166"/>
      <w:bookmarkStart w:id="167" w:name="_Toc146546896"/>
      <w:bookmarkStart w:id="168" w:name="_Toc197919659"/>
      <w:bookmarkStart w:id="169" w:name="_Toc146727256"/>
    </w:p>
    <w:p w14:paraId="714CAE78">
      <w:pPr>
        <w:kinsoku/>
        <w:overflowPunct/>
        <w:topLinePunct/>
        <w:bidi w:val="0"/>
        <w:adjustRightInd w:val="0"/>
        <w:snapToGrid w:val="0"/>
        <w:spacing w:line="360" w:lineRule="auto"/>
        <w:ind w:firstLine="420" w:firstLineChars="200"/>
        <w:rPr>
          <w:rFonts w:ascii="Times New Roman" w:hAnsi="Times New Roman" w:cs="Times New Roman"/>
          <w:b/>
          <w:color w:val="auto"/>
          <w:highlight w:val="none"/>
        </w:rPr>
      </w:pPr>
      <w:r>
        <w:rPr>
          <w:rFonts w:ascii="Times New Roman" w:hAnsi="Times New Roman" w:eastAsia="黑体" w:cs="Times New Roman"/>
          <w:bCs/>
          <w:color w:val="auto"/>
          <w:szCs w:val="21"/>
          <w:highlight w:val="none"/>
        </w:rPr>
        <w:t>2</w:t>
      </w:r>
      <w:r>
        <w:rPr>
          <w:rFonts w:ascii="Times New Roman" w:hAnsi="Times New Roman" w:cs="Times New Roman"/>
          <w:b/>
          <w:color w:val="auto"/>
          <w:highlight w:val="none"/>
        </w:rPr>
        <w:t xml:space="preserve">  </w:t>
      </w:r>
      <w:bookmarkEnd w:id="167"/>
      <w:r>
        <w:rPr>
          <w:rFonts w:ascii="Times New Roman" w:hAnsi="Times New Roman" w:cs="Times New Roman"/>
          <w:color w:val="auto"/>
          <w:highlight w:val="none"/>
        </w:rPr>
        <w:t>徐变试验应按下列步骤进行：</w:t>
      </w:r>
      <w:bookmarkEnd w:id="168"/>
      <w:bookmarkEnd w:id="169"/>
    </w:p>
    <w:p w14:paraId="724BB37B">
      <w:pPr>
        <w:kinsoku/>
        <w:overflowPunct/>
        <w:topLinePunct/>
        <w:bidi w:val="0"/>
        <w:adjustRightInd w:val="0"/>
        <w:snapToGrid w:val="0"/>
        <w:spacing w:line="360" w:lineRule="auto"/>
        <w:ind w:left="630" w:leftChars="300"/>
        <w:rPr>
          <w:rFonts w:ascii="Times New Roman" w:hAnsi="Times New Roman" w:cs="Times New Roman"/>
          <w:color w:val="auto"/>
          <w:highlight w:val="none"/>
        </w:rPr>
      </w:pPr>
      <w:r>
        <w:rPr>
          <w:rFonts w:ascii="Times New Roman" w:hAnsi="Times New Roman" w:cs="Times New Roman"/>
          <w:color w:val="auto"/>
          <w:highlight w:val="none"/>
        </w:rPr>
        <w:t>1）测头或测点应在试验前1d</w:t>
      </w:r>
      <w:r>
        <w:rPr>
          <w:rFonts w:hint="default" w:ascii="Times New Roman" w:hAnsi="Times New Roman" w:cs="Times New Roman"/>
          <w:color w:val="auto"/>
          <w:highlight w:val="none"/>
          <w:lang w:val="en-US" w:eastAsia="zh-CN"/>
        </w:rPr>
        <w:t>固定</w:t>
      </w:r>
      <w:r>
        <w:rPr>
          <w:rFonts w:ascii="Times New Roman" w:hAnsi="Times New Roman" w:cs="Times New Roman"/>
          <w:color w:val="auto"/>
          <w:highlight w:val="none"/>
        </w:rPr>
        <w:t>，仪表安装好后应仔细检查，不得有任何松动或异常现象。加荷装置、测力计等也应予以检查。</w:t>
      </w:r>
    </w:p>
    <w:p w14:paraId="456458D9">
      <w:pPr>
        <w:kinsoku/>
        <w:overflowPunct/>
        <w:topLinePunct/>
        <w:bidi w:val="0"/>
        <w:adjustRightInd w:val="0"/>
        <w:snapToGrid w:val="0"/>
        <w:spacing w:line="360" w:lineRule="auto"/>
        <w:ind w:firstLine="630" w:firstLineChars="300"/>
        <w:rPr>
          <w:rFonts w:ascii="Times New Roman" w:hAnsi="Times New Roman" w:cs="Times New Roman"/>
          <w:color w:val="auto"/>
          <w:highlight w:val="none"/>
        </w:rPr>
      </w:pPr>
      <w:r>
        <w:rPr>
          <w:rFonts w:ascii="Times New Roman" w:hAnsi="Times New Roman" w:cs="Times New Roman"/>
          <w:color w:val="auto"/>
          <w:kern w:val="0"/>
          <w:highlight w:val="none"/>
        </w:rPr>
        <w:t>2）在徐变试件即将加荷前，应</w:t>
      </w:r>
      <w:r>
        <w:rPr>
          <w:rFonts w:ascii="Times New Roman" w:hAnsi="Times New Roman" w:cs="Times New Roman"/>
          <w:color w:val="auto"/>
          <w:highlight w:val="none"/>
        </w:rPr>
        <w:t>测试同条件养护试件的棱柱体抗压强度。</w:t>
      </w:r>
    </w:p>
    <w:p w14:paraId="71EA751D">
      <w:pPr>
        <w:kinsoku/>
        <w:overflowPunct/>
        <w:topLinePunct/>
        <w:bidi w:val="0"/>
        <w:adjustRightInd w:val="0"/>
        <w:snapToGrid w:val="0"/>
        <w:spacing w:line="360" w:lineRule="auto"/>
        <w:ind w:left="630" w:leftChars="300"/>
        <w:rPr>
          <w:rFonts w:ascii="Times New Roman" w:hAnsi="Times New Roman" w:cs="Times New Roman"/>
          <w:color w:val="auto"/>
          <w:kern w:val="0"/>
          <w:highlight w:val="none"/>
        </w:rPr>
      </w:pPr>
      <w:r>
        <w:rPr>
          <w:rFonts w:ascii="Times New Roman" w:hAnsi="Times New Roman" w:cs="Times New Roman"/>
          <w:color w:val="auto"/>
          <w:highlight w:val="none"/>
        </w:rPr>
        <w:t>3）测头和仪表准备</w:t>
      </w:r>
      <w:r>
        <w:rPr>
          <w:rFonts w:hint="default" w:ascii="Times New Roman" w:hAnsi="Times New Roman" w:cs="Times New Roman"/>
          <w:color w:val="auto"/>
          <w:highlight w:val="none"/>
          <w:lang w:val="en-US" w:eastAsia="zh-CN"/>
        </w:rPr>
        <w:t>完毕</w:t>
      </w:r>
      <w:r>
        <w:rPr>
          <w:rFonts w:ascii="Times New Roman" w:hAnsi="Times New Roman" w:cs="Times New Roman"/>
          <w:color w:val="auto"/>
          <w:highlight w:val="none"/>
        </w:rPr>
        <w:t>，应将徐变试件放在徐变仪的下压板后，使试件、加荷装置、测力计及徐变仪的轴线重合</w:t>
      </w:r>
      <w:r>
        <w:rPr>
          <w:rFonts w:hint="default" w:ascii="Times New Roman" w:hAnsi="Times New Roman" w:cs="Times New Roman"/>
          <w:color w:val="auto"/>
          <w:highlight w:val="none"/>
          <w:lang w:eastAsia="zh-CN"/>
        </w:rPr>
        <w:t>，</w:t>
      </w:r>
      <w:r>
        <w:rPr>
          <w:rFonts w:ascii="Times New Roman" w:hAnsi="Times New Roman" w:cs="Times New Roman"/>
          <w:color w:val="auto"/>
          <w:highlight w:val="none"/>
        </w:rPr>
        <w:t>并应再次检查变形测量仪表的调零情况，记下初始读数。当采用</w:t>
      </w:r>
      <w:r>
        <w:rPr>
          <w:rFonts w:ascii="Times New Roman" w:hAnsi="Times New Roman" w:cs="Times New Roman"/>
          <w:color w:val="auto"/>
          <w:kern w:val="0"/>
          <w:highlight w:val="none"/>
        </w:rPr>
        <w:t>未密封的徐变试件时，应在将其放在徐变仪上的同时，覆盖</w:t>
      </w:r>
      <w:r>
        <w:rPr>
          <w:rFonts w:hint="default" w:ascii="Times New Roman" w:hAnsi="Times New Roman" w:cs="Times New Roman"/>
          <w:color w:val="auto"/>
          <w:kern w:val="0"/>
          <w:highlight w:val="none"/>
          <w:lang w:val="en-US" w:eastAsia="zh-CN"/>
        </w:rPr>
        <w:t>对</w:t>
      </w:r>
      <w:r>
        <w:rPr>
          <w:rFonts w:ascii="Times New Roman" w:hAnsi="Times New Roman" w:cs="Times New Roman"/>
          <w:color w:val="auto"/>
          <w:kern w:val="0"/>
          <w:highlight w:val="none"/>
        </w:rPr>
        <w:t>比用收缩试件的端部。</w:t>
      </w:r>
    </w:p>
    <w:p w14:paraId="277CB8EC">
      <w:pPr>
        <w:kinsoku/>
        <w:overflowPunct/>
        <w:topLinePunct/>
        <w:bidi w:val="0"/>
        <w:adjustRightInd w:val="0"/>
        <w:snapToGrid w:val="0"/>
        <w:spacing w:line="360" w:lineRule="auto"/>
        <w:ind w:left="630" w:leftChars="300"/>
        <w:rPr>
          <w:rFonts w:ascii="Times New Roman" w:hAnsi="Times New Roman" w:cs="Times New Roman"/>
          <w:color w:val="auto"/>
          <w:kern w:val="0"/>
          <w:highlight w:val="none"/>
        </w:rPr>
      </w:pPr>
      <w:r>
        <w:rPr>
          <w:rFonts w:ascii="Times New Roman" w:hAnsi="Times New Roman" w:cs="Times New Roman"/>
          <w:color w:val="auto"/>
          <w:highlight w:val="none"/>
        </w:rPr>
        <w:t>4）试件放好后，应及时开始加荷。当无特殊要求时，应取徐变应力为所测得的棱柱体轴心抗压强度的40％。当采用外装仪表或者接触法引申仪时，应用千斤顶先加压至徐变应力的20％进行对中。两侧的变形差应小于其平均值的10％，当超出此值，应松开千斤顶卸荷，进行重新调整后，再加荷</w:t>
      </w:r>
      <w:r>
        <w:rPr>
          <w:rFonts w:hint="default" w:ascii="Times New Roman" w:hAnsi="Times New Roman" w:cs="Times New Roman"/>
          <w:color w:val="auto"/>
          <w:highlight w:val="none"/>
          <w:lang w:val="en-US" w:eastAsia="zh-CN"/>
        </w:rPr>
        <w:t>至</w:t>
      </w:r>
      <w:r>
        <w:rPr>
          <w:rFonts w:ascii="Times New Roman" w:hAnsi="Times New Roman" w:cs="Times New Roman"/>
          <w:color w:val="auto"/>
          <w:highlight w:val="none"/>
        </w:rPr>
        <w:t>徐变应力的20％，并再次检查对中情况。对中完毕后，应立即继续加荷直</w:t>
      </w:r>
      <w:r>
        <w:rPr>
          <w:rFonts w:hint="default" w:ascii="Times New Roman" w:hAnsi="Times New Roman" w:cs="Times New Roman"/>
          <w:color w:val="auto"/>
          <w:highlight w:val="none"/>
          <w:lang w:val="en-US" w:eastAsia="zh-CN"/>
        </w:rPr>
        <w:t>至</w:t>
      </w:r>
      <w:r>
        <w:rPr>
          <w:rFonts w:ascii="Times New Roman" w:hAnsi="Times New Roman" w:cs="Times New Roman"/>
          <w:color w:val="auto"/>
          <w:highlight w:val="none"/>
        </w:rPr>
        <w:t>徐变应力，读出两</w:t>
      </w:r>
      <w:r>
        <w:rPr>
          <w:rFonts w:hint="default" w:ascii="Times New Roman" w:hAnsi="Times New Roman" w:cs="Times New Roman"/>
          <w:color w:val="auto"/>
          <w:highlight w:val="none"/>
          <w:lang w:val="en-US" w:eastAsia="zh-CN"/>
        </w:rPr>
        <w:t>侧</w:t>
      </w:r>
      <w:r>
        <w:rPr>
          <w:rFonts w:ascii="Times New Roman" w:hAnsi="Times New Roman" w:cs="Times New Roman"/>
          <w:color w:val="auto"/>
          <w:highlight w:val="none"/>
        </w:rPr>
        <w:t>的变形值</w:t>
      </w:r>
      <w:r>
        <w:rPr>
          <w:rFonts w:hint="default" w:ascii="Times New Roman" w:hAnsi="Times New Roman" w:cs="Times New Roman"/>
          <w:color w:val="auto"/>
          <w:highlight w:val="none"/>
          <w:lang w:eastAsia="zh-CN"/>
        </w:rPr>
        <w:t>，</w:t>
      </w:r>
      <w:r>
        <w:rPr>
          <w:rFonts w:ascii="Times New Roman" w:hAnsi="Times New Roman" w:cs="Times New Roman"/>
          <w:color w:val="auto"/>
          <w:highlight w:val="none"/>
        </w:rPr>
        <w:t>应将此时两</w:t>
      </w:r>
      <w:r>
        <w:rPr>
          <w:rFonts w:hint="default" w:ascii="Times New Roman" w:hAnsi="Times New Roman" w:cs="Times New Roman"/>
          <w:color w:val="auto"/>
          <w:highlight w:val="none"/>
          <w:lang w:val="en-US" w:eastAsia="zh-CN"/>
        </w:rPr>
        <w:t>侧</w:t>
      </w:r>
      <w:r>
        <w:rPr>
          <w:rFonts w:ascii="Times New Roman" w:hAnsi="Times New Roman" w:cs="Times New Roman"/>
          <w:color w:val="auto"/>
          <w:highlight w:val="none"/>
        </w:rPr>
        <w:t>变形的平均值作为徐变荷载下的初始变形值。从对中完毕到测初始变形值之间的加荷及测量</w:t>
      </w:r>
      <w:r>
        <w:rPr>
          <w:rFonts w:ascii="Times New Roman" w:hAnsi="Times New Roman" w:cs="Times New Roman"/>
          <w:color w:val="auto"/>
          <w:kern w:val="0"/>
          <w:highlight w:val="none"/>
        </w:rPr>
        <w:t>时间不得超过1min。随后应</w:t>
      </w:r>
      <w:r>
        <w:rPr>
          <w:rFonts w:ascii="Times New Roman" w:hAnsi="Times New Roman" w:cs="Times New Roman"/>
          <w:color w:val="auto"/>
          <w:highlight w:val="none"/>
        </w:rPr>
        <w:t>拧紧承力丝杆上端的螺母，松开千斤顶卸荷，观察两</w:t>
      </w:r>
      <w:r>
        <w:rPr>
          <w:rFonts w:hint="default" w:ascii="Times New Roman" w:hAnsi="Times New Roman" w:cs="Times New Roman"/>
          <w:color w:val="auto"/>
          <w:highlight w:val="none"/>
          <w:lang w:val="en-US" w:eastAsia="zh-CN"/>
        </w:rPr>
        <w:t>侧</w:t>
      </w:r>
      <w:r>
        <w:rPr>
          <w:rFonts w:ascii="Times New Roman" w:hAnsi="Times New Roman" w:cs="Times New Roman"/>
          <w:color w:val="auto"/>
          <w:highlight w:val="none"/>
        </w:rPr>
        <w:t>变形值的变化情况。此时，试件两侧的读数相差不应超过平均值的10％，否则应予以调整，调整应在试件持荷的情况下进行，调整过程中所产生的变形增值应计入徐变变形之中。然后应再加荷</w:t>
      </w:r>
      <w:r>
        <w:rPr>
          <w:rFonts w:hint="default" w:ascii="Times New Roman" w:hAnsi="Times New Roman" w:cs="Times New Roman"/>
          <w:color w:val="auto"/>
          <w:highlight w:val="none"/>
          <w:lang w:val="en-US" w:eastAsia="zh-CN"/>
        </w:rPr>
        <w:t>到</w:t>
      </w:r>
      <w:r>
        <w:rPr>
          <w:rFonts w:ascii="Times New Roman" w:hAnsi="Times New Roman" w:cs="Times New Roman"/>
          <w:color w:val="auto"/>
          <w:highlight w:val="none"/>
        </w:rPr>
        <w:t>徐变应力，检查两侧变形读数，其总和与加荷前</w:t>
      </w:r>
      <w:r>
        <w:rPr>
          <w:rFonts w:ascii="Times New Roman" w:hAnsi="Times New Roman" w:cs="Times New Roman"/>
          <w:color w:val="auto"/>
          <w:kern w:val="0"/>
          <w:highlight w:val="none"/>
        </w:rPr>
        <w:t>读数相比，误差</w:t>
      </w:r>
      <w:r>
        <w:rPr>
          <w:rFonts w:hint="default" w:ascii="Times New Roman" w:hAnsi="Times New Roman" w:cs="Times New Roman"/>
          <w:color w:val="auto"/>
          <w:kern w:val="0"/>
          <w:highlight w:val="none"/>
          <w:lang w:val="en-US" w:eastAsia="zh-CN"/>
        </w:rPr>
        <w:t>不应</w:t>
      </w:r>
      <w:r>
        <w:rPr>
          <w:rFonts w:ascii="Times New Roman" w:hAnsi="Times New Roman" w:cs="Times New Roman"/>
          <w:color w:val="auto"/>
          <w:kern w:val="0"/>
          <w:highlight w:val="none"/>
        </w:rPr>
        <w:t>超过2％</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en-US" w:eastAsia="zh-CN"/>
        </w:rPr>
        <w:t>否则</w:t>
      </w:r>
      <w:r>
        <w:rPr>
          <w:rFonts w:ascii="Times New Roman" w:hAnsi="Times New Roman" w:cs="Times New Roman"/>
          <w:color w:val="auto"/>
          <w:kern w:val="0"/>
          <w:highlight w:val="none"/>
        </w:rPr>
        <w:t>应予以补足。</w:t>
      </w:r>
    </w:p>
    <w:p w14:paraId="64DFBA11">
      <w:pPr>
        <w:kinsoku/>
        <w:overflowPunct/>
        <w:topLinePunct/>
        <w:bidi w:val="0"/>
        <w:adjustRightInd w:val="0"/>
        <w:snapToGrid w:val="0"/>
        <w:spacing w:line="360" w:lineRule="auto"/>
        <w:ind w:left="630" w:leftChars="300"/>
        <w:rPr>
          <w:rFonts w:ascii="Times New Roman" w:hAnsi="Times New Roman" w:cs="Times New Roman"/>
          <w:color w:val="auto"/>
          <w:kern w:val="0"/>
          <w:highlight w:val="none"/>
        </w:rPr>
      </w:pPr>
      <w:r>
        <w:rPr>
          <w:rFonts w:ascii="Times New Roman" w:hAnsi="Times New Roman" w:cs="Times New Roman"/>
          <w:color w:val="auto"/>
          <w:kern w:val="0"/>
          <w:highlight w:val="none"/>
        </w:rPr>
        <w:t>5）应在加荷后的1d、3d、7d、14d、28d、45d、60d、90d、120d、150d、180d、270d和360d测读试件的变形值。</w:t>
      </w:r>
    </w:p>
    <w:p w14:paraId="55774A76">
      <w:pPr>
        <w:kinsoku/>
        <w:overflowPunct/>
        <w:topLinePunct/>
        <w:bidi w:val="0"/>
        <w:adjustRightInd w:val="0"/>
        <w:snapToGrid w:val="0"/>
        <w:spacing w:line="360" w:lineRule="auto"/>
        <w:ind w:firstLine="630" w:firstLineChars="300"/>
        <w:rPr>
          <w:rFonts w:ascii="Times New Roman" w:hAnsi="Times New Roman" w:cs="Times New Roman"/>
          <w:color w:val="auto"/>
          <w:kern w:val="0"/>
          <w:highlight w:val="none"/>
        </w:rPr>
      </w:pPr>
      <w:r>
        <w:rPr>
          <w:rFonts w:ascii="Times New Roman" w:hAnsi="Times New Roman" w:cs="Times New Roman"/>
          <w:color w:val="auto"/>
          <w:kern w:val="0"/>
          <w:highlight w:val="none"/>
        </w:rPr>
        <w:t>6）在测读徐变试件变形读数的同时，应测量同条件放置</w:t>
      </w:r>
      <w:r>
        <w:rPr>
          <w:rFonts w:hint="default" w:ascii="Times New Roman" w:hAnsi="Times New Roman" w:cs="Times New Roman"/>
          <w:color w:val="auto"/>
          <w:kern w:val="0"/>
          <w:highlight w:val="none"/>
          <w:lang w:val="en-US" w:eastAsia="zh-CN"/>
        </w:rPr>
        <w:t>对</w:t>
      </w:r>
      <w:r>
        <w:rPr>
          <w:rFonts w:ascii="Times New Roman" w:hAnsi="Times New Roman" w:cs="Times New Roman"/>
          <w:color w:val="auto"/>
          <w:kern w:val="0"/>
          <w:highlight w:val="none"/>
        </w:rPr>
        <w:t>比用收缩试件的收缩值。</w:t>
      </w:r>
    </w:p>
    <w:p w14:paraId="593E8AA7">
      <w:pPr>
        <w:kinsoku/>
        <w:overflowPunct/>
        <w:topLinePunct/>
        <w:bidi w:val="0"/>
        <w:adjustRightInd w:val="0"/>
        <w:snapToGrid w:val="0"/>
        <w:spacing w:line="360" w:lineRule="auto"/>
        <w:ind w:left="630" w:leftChars="300"/>
        <w:rPr>
          <w:rFonts w:ascii="Times New Roman" w:hAnsi="Times New Roman" w:cs="Times New Roman"/>
          <w:color w:val="auto"/>
          <w:sz w:val="18"/>
          <w:szCs w:val="18"/>
          <w:highlight w:val="none"/>
        </w:rPr>
      </w:pPr>
      <w:r>
        <w:rPr>
          <w:rFonts w:ascii="Times New Roman" w:hAnsi="Times New Roman" w:cs="Times New Roman"/>
          <w:color w:val="auto"/>
          <w:kern w:val="0"/>
          <w:highlight w:val="none"/>
        </w:rPr>
        <w:t>7）试件应在加荷后7d、28d、60d、90d</w:t>
      </w:r>
      <w:r>
        <w:rPr>
          <w:rFonts w:hint="default" w:ascii="Times New Roman" w:hAnsi="Times New Roman" w:cs="Times New Roman"/>
          <w:color w:val="auto"/>
          <w:kern w:val="0"/>
          <w:highlight w:val="none"/>
          <w:lang w:val="en-US" w:eastAsia="zh-CN"/>
        </w:rPr>
        <w:t>时，</w:t>
      </w:r>
      <w:r>
        <w:rPr>
          <w:rFonts w:ascii="Times New Roman" w:hAnsi="Times New Roman" w:cs="Times New Roman"/>
          <w:color w:val="auto"/>
          <w:kern w:val="0"/>
          <w:highlight w:val="none"/>
        </w:rPr>
        <w:t>校核检查</w:t>
      </w:r>
      <w:r>
        <w:rPr>
          <w:rFonts w:hint="default" w:ascii="Times New Roman" w:hAnsi="Times New Roman" w:cs="Times New Roman"/>
          <w:color w:val="auto"/>
          <w:kern w:val="0"/>
          <w:highlight w:val="none"/>
          <w:lang w:val="en-US" w:eastAsia="zh-CN"/>
        </w:rPr>
        <w:t>荷载的保持情况</w:t>
      </w:r>
      <w:r>
        <w:rPr>
          <w:rFonts w:ascii="Times New Roman" w:hAnsi="Times New Roman" w:cs="Times New Roman"/>
          <w:color w:val="auto"/>
          <w:kern w:val="0"/>
          <w:highlight w:val="none"/>
        </w:rPr>
        <w:t>，如荷载变化大于2％，应予以补足。</w:t>
      </w:r>
      <w:r>
        <w:rPr>
          <w:rFonts w:hint="default" w:ascii="Times New Roman" w:hAnsi="Times New Roman" w:cs="Times New Roman"/>
          <w:color w:val="auto"/>
          <w:kern w:val="0"/>
          <w:highlight w:val="none"/>
          <w:lang w:val="en-US" w:eastAsia="zh-CN"/>
        </w:rPr>
        <w:t>当</w:t>
      </w:r>
      <w:r>
        <w:rPr>
          <w:rFonts w:ascii="Times New Roman" w:hAnsi="Times New Roman" w:cs="Times New Roman"/>
          <w:color w:val="auto"/>
          <w:szCs w:val="21"/>
          <w:highlight w:val="none"/>
        </w:rPr>
        <w:t>使用弹簧式加载架时，可通过施加正确的荷载并拧紧丝杆上的螺帽来进行调整。</w:t>
      </w:r>
      <w:bookmarkStart w:id="170" w:name="_Toc146546897"/>
      <w:bookmarkStart w:id="171" w:name="_Toc197919660"/>
      <w:bookmarkStart w:id="172" w:name="_Toc146727257"/>
    </w:p>
    <w:p w14:paraId="5E2D4255">
      <w:pPr>
        <w:kinsoku/>
        <w:overflowPunct/>
        <w:topLinePunct/>
        <w:bidi w:val="0"/>
        <w:adjustRightInd w:val="0"/>
        <w:snapToGrid w:val="0"/>
        <w:spacing w:line="360" w:lineRule="auto"/>
        <w:rPr>
          <w:rFonts w:ascii="Times New Roman" w:hAnsi="Times New Roman" w:cs="Times New Roman"/>
          <w:color w:val="auto"/>
          <w:highlight w:val="none"/>
        </w:rPr>
      </w:pPr>
      <w:r>
        <w:rPr>
          <w:rFonts w:hint="default" w:ascii="Times New Roman" w:hAnsi="Times New Roman" w:eastAsia="黑体" w:cs="Times New Roman"/>
          <w:bCs/>
          <w:color w:val="auto"/>
          <w:szCs w:val="21"/>
          <w:highlight w:val="none"/>
          <w:lang w:eastAsia="zh-CN"/>
        </w:rPr>
        <w:t>7.</w:t>
      </w:r>
      <w:r>
        <w:rPr>
          <w:rFonts w:hint="eastAsia" w:eastAsia="黑体" w:cs="Times New Roman"/>
          <w:bCs/>
          <w:color w:val="auto"/>
          <w:szCs w:val="21"/>
          <w:highlight w:val="none"/>
          <w:lang w:val="en-US" w:eastAsia="zh-CN"/>
        </w:rPr>
        <w:t>4</w:t>
      </w:r>
      <w:r>
        <w:rPr>
          <w:rFonts w:ascii="Times New Roman" w:hAnsi="Times New Roman" w:eastAsia="黑体" w:cs="Times New Roman"/>
          <w:bCs/>
          <w:color w:val="auto"/>
          <w:szCs w:val="21"/>
          <w:highlight w:val="none"/>
        </w:rPr>
        <w:t>.5</w:t>
      </w:r>
      <w:r>
        <w:rPr>
          <w:rFonts w:ascii="Times New Roman" w:hAnsi="Times New Roman" w:cs="Times New Roman"/>
          <w:b/>
          <w:color w:val="auto"/>
          <w:highlight w:val="none"/>
        </w:rPr>
        <w:t xml:space="preserve">  </w:t>
      </w:r>
      <w:bookmarkEnd w:id="170"/>
      <w:r>
        <w:rPr>
          <w:rFonts w:ascii="Times New Roman" w:hAnsi="Times New Roman" w:cs="Times New Roman"/>
          <w:color w:val="auto"/>
          <w:highlight w:val="none"/>
        </w:rPr>
        <w:t>试验结果计算及处理应符合下列规定：</w:t>
      </w:r>
      <w:bookmarkEnd w:id="171"/>
      <w:bookmarkEnd w:id="172"/>
      <w:bookmarkStart w:id="173" w:name="_Toc197919661"/>
      <w:bookmarkStart w:id="174" w:name="_Toc146546898"/>
      <w:bookmarkStart w:id="175" w:name="_Toc146727258"/>
    </w:p>
    <w:p w14:paraId="1C768337">
      <w:pPr>
        <w:kinsoku/>
        <w:overflowPunct/>
        <w:topLinePunct/>
        <w:bidi w:val="0"/>
        <w:adjustRightInd w:val="0"/>
        <w:snapToGrid w:val="0"/>
        <w:spacing w:line="360" w:lineRule="auto"/>
        <w:ind w:firstLine="420" w:firstLineChars="200"/>
        <w:rPr>
          <w:rFonts w:ascii="Times New Roman" w:hAnsi="Times New Roman" w:cs="Times New Roman"/>
          <w:color w:val="auto"/>
          <w:highlight w:val="none"/>
        </w:rPr>
      </w:pPr>
      <w:r>
        <w:rPr>
          <w:rFonts w:ascii="Times New Roman" w:hAnsi="Times New Roman" w:eastAsia="黑体" w:cs="Times New Roman"/>
          <w:bCs/>
          <w:color w:val="auto"/>
          <w:szCs w:val="21"/>
          <w:highlight w:val="none"/>
        </w:rPr>
        <w:t>1</w:t>
      </w:r>
      <w:r>
        <w:rPr>
          <w:rFonts w:ascii="Times New Roman" w:hAnsi="Times New Roman" w:cs="Times New Roman"/>
          <w:color w:val="auto"/>
          <w:highlight w:val="none"/>
        </w:rPr>
        <w:t xml:space="preserve">  徐变应变应按下式计算：</w:t>
      </w:r>
      <w:bookmarkEnd w:id="173"/>
      <w:bookmarkEnd w:id="174"/>
      <w:bookmarkEnd w:id="175"/>
    </w:p>
    <w:tbl>
      <w:tblPr>
        <w:tblStyle w:val="38"/>
        <w:tblW w:w="5000" w:type="pct"/>
        <w:tblInd w:w="0" w:type="dxa"/>
        <w:tblLayout w:type="autofit"/>
        <w:tblCellMar>
          <w:top w:w="0" w:type="dxa"/>
          <w:left w:w="28" w:type="dxa"/>
          <w:bottom w:w="0" w:type="dxa"/>
          <w:right w:w="28" w:type="dxa"/>
        </w:tblCellMar>
      </w:tblPr>
      <w:tblGrid>
        <w:gridCol w:w="1419"/>
        <w:gridCol w:w="6558"/>
        <w:gridCol w:w="1434"/>
      </w:tblGrid>
      <w:tr w14:paraId="71F8C90B">
        <w:tblPrEx>
          <w:tblCellMar>
            <w:top w:w="0" w:type="dxa"/>
            <w:left w:w="28" w:type="dxa"/>
            <w:bottom w:w="0" w:type="dxa"/>
            <w:right w:w="28" w:type="dxa"/>
          </w:tblCellMar>
        </w:tblPrEx>
        <w:trPr>
          <w:trHeight w:val="420" w:hRule="atLeast"/>
        </w:trPr>
        <w:tc>
          <w:tcPr>
            <w:tcW w:w="754" w:type="pct"/>
            <w:noWrap w:val="0"/>
            <w:vAlign w:val="center"/>
          </w:tcPr>
          <w:p w14:paraId="67AE8D6B">
            <w:pPr>
              <w:pStyle w:val="124"/>
              <w:keepNext w:val="0"/>
              <w:keepLines w:val="0"/>
              <w:suppressLineNumbers w:val="0"/>
              <w:kinsoku/>
              <w:overflowPunct/>
              <w:topLinePunct/>
              <w:bidi w:val="0"/>
              <w:spacing w:before="0" w:beforeAutospacing="0" w:after="0" w:afterAutospacing="0" w:line="360" w:lineRule="auto"/>
              <w:ind w:left="0" w:right="0" w:firstLine="0"/>
              <w:jc w:val="both"/>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z w:val="21"/>
                <w:szCs w:val="21"/>
                <w:highlight w:val="none"/>
              </w:rPr>
              <w:t xml:space="preserve">                          </w:t>
            </w:r>
          </w:p>
        </w:tc>
        <w:tc>
          <w:tcPr>
            <w:tcW w:w="3484" w:type="pct"/>
            <w:noWrap w:val="0"/>
            <w:vAlign w:val="center"/>
          </w:tcPr>
          <w:p w14:paraId="756738B5">
            <w:pPr>
              <w:pStyle w:val="124"/>
              <w:keepNext w:val="0"/>
              <w:keepLines w:val="0"/>
              <w:suppressLineNumbers w:val="0"/>
              <w:kinsoku/>
              <w:overflowPunct/>
              <w:topLinePunct/>
              <w:bidi w:val="0"/>
              <w:spacing w:before="0" w:beforeAutospacing="0" w:after="0" w:afterAutospacing="0" w:line="36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26"/>
                <w:sz w:val="21"/>
                <w:szCs w:val="21"/>
                <w:highlight w:val="none"/>
              </w:rPr>
              <w:object>
                <v:shape id="_x0000_i1116" o:spt="75" type="#_x0000_t75" style="height:30pt;width:84pt;" o:ole="t" filled="f" o:preferrelative="t" stroked="f" coordsize="21600,21600">
                  <v:path/>
                  <v:fill on="f" alignshape="1" focussize="0,0"/>
                  <v:stroke on="f"/>
                  <v:imagedata r:id="rId232" o:title=""/>
                  <o:lock v:ext="edit" aspectratio="t"/>
                  <w10:wrap type="none"/>
                  <w10:anchorlock/>
                </v:shape>
                <o:OLEObject Type="Embed" ProgID="Equation.3" ShapeID="_x0000_i1116" DrawAspect="Content" ObjectID="_1468075816" r:id="rId231">
                  <o:LockedField>false</o:LockedField>
                </o:OLEObject>
              </w:object>
            </w:r>
          </w:p>
        </w:tc>
        <w:tc>
          <w:tcPr>
            <w:tcW w:w="762" w:type="pct"/>
            <w:noWrap w:val="0"/>
            <w:vAlign w:val="center"/>
          </w:tcPr>
          <w:p w14:paraId="08E4122F">
            <w:pPr>
              <w:pStyle w:val="124"/>
              <w:keepNext w:val="0"/>
              <w:keepLines w:val="0"/>
              <w:suppressLineNumbers w:val="0"/>
              <w:kinsoku/>
              <w:overflowPunct/>
              <w:topLinePunct/>
              <w:bidi w:val="0"/>
              <w:spacing w:before="0" w:beforeAutospacing="0" w:after="0" w:afterAutospacing="0" w:line="360" w:lineRule="auto"/>
              <w:ind w:left="0" w:right="0" w:firstLine="0"/>
              <w:jc w:val="right"/>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7.3</w:t>
            </w:r>
            <w:r>
              <w:rPr>
                <w:rFonts w:hint="default" w:ascii="Times New Roman" w:hAnsi="Times New Roman" w:cs="Times New Roman"/>
                <w:color w:val="auto"/>
                <w:sz w:val="21"/>
                <w:szCs w:val="21"/>
                <w:highlight w:val="none"/>
              </w:rPr>
              <w:t>.5-1）</w:t>
            </w:r>
            <w:r>
              <w:rPr>
                <w:rFonts w:hint="default" w:ascii="Times New Roman" w:hAnsi="Times New Roman" w:cs="Times New Roman"/>
                <w:bCs/>
                <w:color w:val="auto"/>
                <w:sz w:val="21"/>
                <w:szCs w:val="21"/>
                <w:highlight w:val="none"/>
              </w:rPr>
              <w:t xml:space="preserve">  </w:t>
            </w:r>
          </w:p>
        </w:tc>
      </w:tr>
    </w:tbl>
    <w:p w14:paraId="381C7099">
      <w:pPr>
        <w:kinsoku/>
        <w:overflowPunct/>
        <w:topLinePunct/>
        <w:bidi w:val="0"/>
        <w:adjustRightInd w:val="0"/>
        <w:snapToGrid w:val="0"/>
        <w:spacing w:line="36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式中：</w:t>
      </w:r>
      <w:r>
        <w:rPr>
          <w:rFonts w:ascii="Times New Roman" w:hAnsi="Times New Roman" w:cs="Times New Roman"/>
          <w:color w:val="auto"/>
          <w:kern w:val="0"/>
          <w:position w:val="-10"/>
          <w:highlight w:val="none"/>
        </w:rPr>
        <w:drawing>
          <wp:inline distT="0" distB="0" distL="114300" distR="114300">
            <wp:extent cx="190500" cy="190500"/>
            <wp:effectExtent l="0" t="0" r="0" b="0"/>
            <wp:docPr id="2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2"/>
                    <pic:cNvPicPr>
                      <a:picLocks noChangeAspect="1"/>
                    </pic:cNvPicPr>
                  </pic:nvPicPr>
                  <pic:blipFill>
                    <a:blip r:embed="rId233"/>
                    <a:stretch>
                      <a:fillRect/>
                    </a:stretch>
                  </pic:blipFill>
                  <pic:spPr>
                    <a:xfrm>
                      <a:off x="0" y="0"/>
                      <a:ext cx="190500" cy="190500"/>
                    </a:xfrm>
                    <a:prstGeom prst="rect">
                      <a:avLst/>
                    </a:prstGeom>
                    <a:noFill/>
                    <a:ln>
                      <a:noFill/>
                    </a:ln>
                  </pic:spPr>
                </pic:pic>
              </a:graphicData>
            </a:graphic>
          </wp:inline>
        </w:drawing>
      </w:r>
      <w:r>
        <w:rPr>
          <w:rFonts w:ascii="Times New Roman" w:hAnsi="Times New Roman" w:cs="Times New Roman"/>
          <w:color w:val="auto"/>
          <w:kern w:val="0"/>
          <w:highlight w:val="none"/>
        </w:rPr>
        <w:t>——加荷</w:t>
      </w:r>
      <w:r>
        <w:rPr>
          <w:rFonts w:ascii="Times New Roman" w:hAnsi="Times New Roman" w:cs="Times New Roman"/>
          <w:i/>
          <w:color w:val="auto"/>
          <w:kern w:val="0"/>
          <w:highlight w:val="none"/>
        </w:rPr>
        <w:t>t</w:t>
      </w:r>
      <w:r>
        <w:rPr>
          <w:rFonts w:ascii="Times New Roman" w:hAnsi="Times New Roman" w:cs="Times New Roman"/>
          <w:i w:val="0"/>
          <w:iCs/>
          <w:color w:val="auto"/>
          <w:kern w:val="0"/>
          <w:highlight w:val="none"/>
        </w:rPr>
        <w:t>（</w:t>
      </w:r>
      <w:r>
        <w:rPr>
          <w:rFonts w:ascii="Times New Roman" w:hAnsi="Times New Roman" w:cs="Times New Roman"/>
          <w:color w:val="auto"/>
          <w:kern w:val="0"/>
          <w:highlight w:val="none"/>
        </w:rPr>
        <w:t>d）后的徐变应变，精确至1.0</w:t>
      </w:r>
      <w:r>
        <w:rPr>
          <w:rFonts w:ascii="Times New Roman" w:hAnsi="Times New Roman" w:cs="Times New Roman"/>
          <w:color w:val="auto"/>
          <w:kern w:val="0"/>
          <w:highlight w:val="none"/>
        </w:rPr>
        <w:sym w:font="Symbol" w:char="F0B4"/>
      </w:r>
      <w:r>
        <w:rPr>
          <w:rFonts w:ascii="Times New Roman" w:hAnsi="Times New Roman" w:cs="Times New Roman"/>
          <w:color w:val="auto"/>
          <w:kern w:val="0"/>
          <w:highlight w:val="none"/>
        </w:rPr>
        <w:t>10</w:t>
      </w:r>
      <w:r>
        <w:rPr>
          <w:rFonts w:ascii="Times New Roman" w:hAnsi="Times New Roman" w:cs="Times New Roman"/>
          <w:color w:val="auto"/>
          <w:kern w:val="0"/>
          <w:highlight w:val="none"/>
          <w:vertAlign w:val="superscript"/>
        </w:rPr>
        <w:t>-6</w:t>
      </w:r>
      <w:r>
        <w:rPr>
          <w:rFonts w:ascii="Times New Roman" w:hAnsi="Times New Roman" w:cs="Times New Roman"/>
          <w:color w:val="auto"/>
          <w:kern w:val="0"/>
          <w:highlight w:val="none"/>
        </w:rPr>
        <w:t>；</w:t>
      </w:r>
    </w:p>
    <w:p w14:paraId="63D0C016">
      <w:pPr>
        <w:kinsoku/>
        <w:overflowPunct/>
        <w:topLinePunct/>
        <w:bidi w:val="0"/>
        <w:adjustRightInd w:val="0"/>
        <w:snapToGrid w:val="0"/>
        <w:spacing w:line="360" w:lineRule="auto"/>
        <w:ind w:firstLine="630" w:firstLineChars="300"/>
        <w:rPr>
          <w:rFonts w:ascii="Times New Roman" w:hAnsi="Times New Roman" w:cs="Times New Roman"/>
          <w:color w:val="auto"/>
          <w:kern w:val="0"/>
          <w:highlight w:val="none"/>
        </w:rPr>
      </w:pPr>
      <w:r>
        <w:rPr>
          <w:rFonts w:ascii="Times New Roman" w:hAnsi="Times New Roman" w:cs="Times New Roman"/>
          <w:color w:val="auto"/>
          <w:kern w:val="0"/>
          <w:position w:val="-10"/>
          <w:highlight w:val="none"/>
        </w:rPr>
        <w:object>
          <v:shape id="_x0000_i1117" o:spt="75" type="#_x0000_t75" style="height:15pt;width:18pt;" o:ole="t" filled="f" o:preferrelative="t" stroked="f" coordsize="21600,21600">
            <v:path/>
            <v:fill on="f" alignshape="1" focussize="0,0"/>
            <v:stroke on="f"/>
            <v:imagedata r:id="rId235" o:title=""/>
            <o:lock v:ext="edit" aspectratio="t"/>
            <w10:wrap type="none"/>
            <w10:anchorlock/>
          </v:shape>
          <o:OLEObject Type="Embed" ProgID="Equation.3" ShapeID="_x0000_i1117" DrawAspect="Content" ObjectID="_1468075817" r:id="rId234">
            <o:LockedField>false</o:LockedField>
          </o:OLEObject>
        </w:object>
      </w:r>
      <w:r>
        <w:rPr>
          <w:rFonts w:ascii="Times New Roman" w:hAnsi="Times New Roman" w:cs="Times New Roman"/>
          <w:color w:val="auto"/>
          <w:kern w:val="0"/>
          <w:highlight w:val="none"/>
        </w:rPr>
        <w:t>——加荷</w:t>
      </w:r>
      <w:r>
        <w:rPr>
          <w:rFonts w:ascii="Times New Roman" w:hAnsi="Times New Roman" w:cs="Times New Roman"/>
          <w:i/>
          <w:color w:val="auto"/>
          <w:kern w:val="0"/>
          <w:highlight w:val="none"/>
        </w:rPr>
        <w:t>t</w:t>
      </w:r>
      <w:r>
        <w:rPr>
          <w:rFonts w:ascii="Times New Roman" w:hAnsi="Times New Roman" w:cs="Times New Roman"/>
          <w:i w:val="0"/>
          <w:iCs/>
          <w:color w:val="auto"/>
          <w:kern w:val="0"/>
          <w:highlight w:val="none"/>
        </w:rPr>
        <w:t>（</w:t>
      </w:r>
      <w:r>
        <w:rPr>
          <w:rFonts w:ascii="Times New Roman" w:hAnsi="Times New Roman" w:cs="Times New Roman"/>
          <w:color w:val="auto"/>
          <w:kern w:val="0"/>
          <w:highlight w:val="none"/>
        </w:rPr>
        <w:t>d）后的总变形值(mm)，精确至0.001mm；</w:t>
      </w:r>
    </w:p>
    <w:p w14:paraId="63ACB4A0">
      <w:pPr>
        <w:kinsoku/>
        <w:overflowPunct/>
        <w:topLinePunct/>
        <w:bidi w:val="0"/>
        <w:adjustRightInd w:val="0"/>
        <w:snapToGrid w:val="0"/>
        <w:spacing w:line="360" w:lineRule="auto"/>
        <w:ind w:firstLine="644" w:firstLineChars="307"/>
        <w:rPr>
          <w:rFonts w:ascii="Times New Roman" w:hAnsi="Times New Roman" w:cs="Times New Roman"/>
          <w:color w:val="auto"/>
          <w:kern w:val="0"/>
          <w:highlight w:val="none"/>
        </w:rPr>
      </w:pPr>
      <w:r>
        <w:rPr>
          <w:rFonts w:ascii="Times New Roman" w:hAnsi="Times New Roman" w:cs="Times New Roman"/>
          <w:color w:val="auto"/>
          <w:kern w:val="0"/>
          <w:position w:val="-10"/>
          <w:highlight w:val="none"/>
        </w:rPr>
        <w:object>
          <v:shape id="_x0000_i1118" o:spt="75" type="#_x0000_t75" style="height:15pt;width:19pt;" o:ole="t" filled="f" o:preferrelative="t" stroked="f" coordsize="21600,21600">
            <v:path/>
            <v:fill on="f" alignshape="1" focussize="0,0"/>
            <v:stroke on="f"/>
            <v:imagedata r:id="rId237" o:title=""/>
            <o:lock v:ext="edit" aspectratio="t"/>
            <w10:wrap type="none"/>
            <w10:anchorlock/>
          </v:shape>
          <o:OLEObject Type="Embed" ProgID="Equation.3" ShapeID="_x0000_i1118" DrawAspect="Content" ObjectID="_1468075818" r:id="rId236">
            <o:LockedField>false</o:LockedField>
          </o:OLEObject>
        </w:object>
      </w:r>
      <w:r>
        <w:rPr>
          <w:rFonts w:ascii="Times New Roman" w:hAnsi="Times New Roman" w:cs="Times New Roman"/>
          <w:color w:val="auto"/>
          <w:kern w:val="0"/>
          <w:highlight w:val="none"/>
        </w:rPr>
        <w:t>——加荷时测得的初始变形值(mm)，精确至0.001mm；</w:t>
      </w:r>
    </w:p>
    <w:p w14:paraId="27B2B8A3">
      <w:pPr>
        <w:kinsoku/>
        <w:overflowPunct/>
        <w:topLinePunct/>
        <w:bidi w:val="0"/>
        <w:adjustRightInd w:val="0"/>
        <w:snapToGrid w:val="0"/>
        <w:spacing w:line="360" w:lineRule="auto"/>
        <w:ind w:firstLine="644" w:firstLineChars="307"/>
        <w:rPr>
          <w:rFonts w:ascii="Times New Roman" w:hAnsi="Times New Roman" w:cs="Times New Roman"/>
          <w:color w:val="auto"/>
          <w:kern w:val="0"/>
          <w:highlight w:val="none"/>
        </w:rPr>
      </w:pPr>
      <w:r>
        <w:rPr>
          <w:rFonts w:ascii="Times New Roman" w:hAnsi="Times New Roman" w:cs="Times New Roman"/>
          <w:i/>
          <w:color w:val="auto"/>
          <w:kern w:val="0"/>
          <w:position w:val="-10"/>
          <w:highlight w:val="none"/>
        </w:rPr>
        <w:object>
          <v:shape id="_x0000_i1119" o:spt="75" type="#_x0000_t75" style="height:15pt;width:13pt;" o:ole="t" filled="f" o:preferrelative="t" stroked="f" coordsize="21600,21600">
            <v:path/>
            <v:fill on="f" alignshape="1" focussize="0,0"/>
            <v:stroke on="f"/>
            <v:imagedata r:id="rId239" o:title=""/>
            <o:lock v:ext="edit" aspectratio="t"/>
            <w10:wrap type="none"/>
            <w10:anchorlock/>
          </v:shape>
          <o:OLEObject Type="Embed" ProgID="Equation.3" ShapeID="_x0000_i1119" DrawAspect="Content" ObjectID="_1468075819" r:id="rId238">
            <o:LockedField>false</o:LockedField>
          </o:OLEObject>
        </w:object>
      </w:r>
      <w:r>
        <w:rPr>
          <w:rFonts w:ascii="Times New Roman" w:hAnsi="Times New Roman" w:cs="Times New Roman"/>
          <w:color w:val="auto"/>
          <w:kern w:val="0"/>
          <w:highlight w:val="none"/>
          <w:vertAlign w:val="subscript"/>
        </w:rPr>
        <w:t xml:space="preserve"> </w:t>
      </w:r>
      <w:r>
        <w:rPr>
          <w:rFonts w:ascii="Times New Roman" w:hAnsi="Times New Roman" w:cs="Times New Roman"/>
          <w:color w:val="auto"/>
          <w:kern w:val="0"/>
          <w:sz w:val="10"/>
          <w:szCs w:val="10"/>
          <w:highlight w:val="none"/>
          <w:vertAlign w:val="subscript"/>
        </w:rPr>
        <w:t xml:space="preserve"> </w:t>
      </w:r>
      <w:r>
        <w:rPr>
          <w:rFonts w:ascii="Times New Roman" w:hAnsi="Times New Roman" w:cs="Times New Roman"/>
          <w:color w:val="auto"/>
          <w:kern w:val="0"/>
          <w:highlight w:val="none"/>
        </w:rPr>
        <w:t>——测量标距（mm），精确至1mm；</w:t>
      </w:r>
    </w:p>
    <w:p w14:paraId="39122061">
      <w:pPr>
        <w:kinsoku/>
        <w:overflowPunct/>
        <w:topLinePunct/>
        <w:bidi w:val="0"/>
        <w:adjustRightInd w:val="0"/>
        <w:snapToGrid w:val="0"/>
        <w:spacing w:line="360" w:lineRule="auto"/>
        <w:ind w:firstLine="644" w:firstLineChars="307"/>
        <w:rPr>
          <w:rFonts w:ascii="Times New Roman" w:hAnsi="Times New Roman" w:cs="Times New Roman"/>
          <w:color w:val="auto"/>
          <w:kern w:val="0"/>
          <w:highlight w:val="none"/>
        </w:rPr>
      </w:pPr>
      <w:r>
        <w:rPr>
          <w:rFonts w:ascii="Times New Roman" w:hAnsi="Times New Roman" w:cs="Times New Roman"/>
          <w:i/>
          <w:color w:val="auto"/>
          <w:kern w:val="0"/>
          <w:position w:val="-10"/>
          <w:highlight w:val="none"/>
        </w:rPr>
        <w:object>
          <v:shape id="_x0000_i1120" o:spt="75" type="#_x0000_t75" style="height:15pt;width:11pt;" o:ole="t" filled="f" o:preferrelative="t" stroked="f" coordsize="21600,21600">
            <v:path/>
            <v:fill on="f" alignshape="1" focussize="0,0"/>
            <v:stroke on="f"/>
            <v:imagedata r:id="rId241" o:title=""/>
            <o:lock v:ext="edit" aspectratio="t"/>
            <w10:wrap type="none"/>
            <w10:anchorlock/>
          </v:shape>
          <o:OLEObject Type="Embed" ProgID="Equation.3" ShapeID="_x0000_i1120" DrawAspect="Content" ObjectID="_1468075820" r:id="rId240">
            <o:LockedField>false</o:LockedField>
          </o:OLEObject>
        </w:object>
      </w:r>
      <w:r>
        <w:rPr>
          <w:rFonts w:ascii="Times New Roman" w:hAnsi="Times New Roman" w:cs="Times New Roman"/>
          <w:color w:val="auto"/>
          <w:kern w:val="0"/>
          <w:highlight w:val="none"/>
          <w:vertAlign w:val="subscript"/>
        </w:rPr>
        <w:t xml:space="preserve"> </w:t>
      </w:r>
      <w:r>
        <w:rPr>
          <w:rFonts w:ascii="Times New Roman" w:hAnsi="Times New Roman" w:cs="Times New Roman"/>
          <w:color w:val="auto"/>
          <w:kern w:val="0"/>
          <w:sz w:val="10"/>
          <w:szCs w:val="10"/>
          <w:highlight w:val="none"/>
          <w:vertAlign w:val="subscript"/>
        </w:rPr>
        <w:t xml:space="preserve">  </w:t>
      </w:r>
      <w:r>
        <w:rPr>
          <w:rFonts w:ascii="Times New Roman" w:hAnsi="Times New Roman" w:cs="Times New Roman"/>
          <w:color w:val="auto"/>
          <w:kern w:val="0"/>
          <w:highlight w:val="none"/>
        </w:rPr>
        <w:t>——同龄期的收缩</w:t>
      </w:r>
      <w:r>
        <w:rPr>
          <w:rFonts w:hint="default" w:ascii="Times New Roman" w:hAnsi="Times New Roman" w:cs="Times New Roman"/>
          <w:color w:val="auto"/>
          <w:kern w:val="0"/>
          <w:highlight w:val="none"/>
          <w:lang w:val="en-US" w:eastAsia="zh-CN"/>
        </w:rPr>
        <w:t>应变</w:t>
      </w:r>
      <w:r>
        <w:rPr>
          <w:rFonts w:ascii="Times New Roman" w:hAnsi="Times New Roman" w:cs="Times New Roman"/>
          <w:color w:val="auto"/>
          <w:kern w:val="0"/>
          <w:highlight w:val="none"/>
        </w:rPr>
        <w:t>，精确至1.0</w:t>
      </w:r>
      <w:r>
        <w:rPr>
          <w:rFonts w:ascii="Times New Roman" w:hAnsi="Times New Roman" w:cs="Times New Roman"/>
          <w:color w:val="auto"/>
          <w:kern w:val="0"/>
          <w:highlight w:val="none"/>
        </w:rPr>
        <w:sym w:font="Symbol" w:char="F0B4"/>
      </w:r>
      <w:r>
        <w:rPr>
          <w:rFonts w:ascii="Times New Roman" w:hAnsi="Times New Roman" w:cs="Times New Roman"/>
          <w:color w:val="auto"/>
          <w:kern w:val="0"/>
          <w:highlight w:val="none"/>
        </w:rPr>
        <w:t>10</w:t>
      </w:r>
      <w:r>
        <w:rPr>
          <w:rFonts w:ascii="Times New Roman" w:hAnsi="Times New Roman" w:cs="Times New Roman"/>
          <w:color w:val="auto"/>
          <w:kern w:val="0"/>
          <w:highlight w:val="none"/>
          <w:vertAlign w:val="superscript"/>
        </w:rPr>
        <w:t>-6</w:t>
      </w:r>
      <w:r>
        <w:rPr>
          <w:rFonts w:ascii="Times New Roman" w:hAnsi="Times New Roman" w:cs="Times New Roman"/>
          <w:color w:val="auto"/>
          <w:kern w:val="0"/>
          <w:highlight w:val="none"/>
        </w:rPr>
        <w:t>。</w:t>
      </w:r>
      <w:bookmarkStart w:id="176" w:name="_Toc146546899"/>
      <w:bookmarkStart w:id="177" w:name="_Toc197919662"/>
      <w:bookmarkStart w:id="178" w:name="_Toc146727259"/>
    </w:p>
    <w:p w14:paraId="127167DB">
      <w:pPr>
        <w:kinsoku/>
        <w:overflowPunct/>
        <w:topLinePunct/>
        <w:bidi w:val="0"/>
        <w:adjustRightInd w:val="0"/>
        <w:snapToGrid w:val="0"/>
        <w:spacing w:line="360" w:lineRule="auto"/>
        <w:ind w:firstLine="420" w:firstLineChars="200"/>
        <w:rPr>
          <w:rFonts w:ascii="Times New Roman" w:hAnsi="Times New Roman" w:cs="Times New Roman"/>
          <w:color w:val="auto"/>
          <w:highlight w:val="none"/>
        </w:rPr>
      </w:pPr>
      <w:r>
        <w:rPr>
          <w:rFonts w:ascii="Times New Roman" w:hAnsi="Times New Roman" w:eastAsia="黑体" w:cs="Times New Roman"/>
          <w:bCs/>
          <w:color w:val="auto"/>
          <w:szCs w:val="21"/>
          <w:highlight w:val="none"/>
        </w:rPr>
        <w:t>2</w:t>
      </w:r>
      <w:r>
        <w:rPr>
          <w:rFonts w:ascii="Times New Roman" w:hAnsi="Times New Roman" w:cs="Times New Roman"/>
          <w:color w:val="auto"/>
          <w:highlight w:val="none"/>
        </w:rPr>
        <w:t xml:space="preserve">  徐变度应按下式计算：</w:t>
      </w:r>
      <w:bookmarkEnd w:id="176"/>
      <w:bookmarkEnd w:id="177"/>
      <w:bookmarkEnd w:id="178"/>
    </w:p>
    <w:tbl>
      <w:tblPr>
        <w:tblStyle w:val="38"/>
        <w:tblW w:w="5000" w:type="pct"/>
        <w:tblInd w:w="0" w:type="dxa"/>
        <w:tblLayout w:type="autofit"/>
        <w:tblCellMar>
          <w:top w:w="0" w:type="dxa"/>
          <w:left w:w="28" w:type="dxa"/>
          <w:bottom w:w="0" w:type="dxa"/>
          <w:right w:w="28" w:type="dxa"/>
        </w:tblCellMar>
      </w:tblPr>
      <w:tblGrid>
        <w:gridCol w:w="1221"/>
        <w:gridCol w:w="6360"/>
        <w:gridCol w:w="1830"/>
      </w:tblGrid>
      <w:tr w14:paraId="33A3D595">
        <w:tblPrEx>
          <w:tblCellMar>
            <w:top w:w="0" w:type="dxa"/>
            <w:left w:w="28" w:type="dxa"/>
            <w:bottom w:w="0" w:type="dxa"/>
            <w:right w:w="28" w:type="dxa"/>
          </w:tblCellMar>
        </w:tblPrEx>
        <w:trPr>
          <w:trHeight w:val="420" w:hRule="atLeast"/>
        </w:trPr>
        <w:tc>
          <w:tcPr>
            <w:tcW w:w="754" w:type="pct"/>
            <w:noWrap w:val="0"/>
            <w:vAlign w:val="center"/>
          </w:tcPr>
          <w:p w14:paraId="3B0CD096">
            <w:pPr>
              <w:pStyle w:val="124"/>
              <w:keepNext w:val="0"/>
              <w:keepLines w:val="0"/>
              <w:suppressLineNumbers w:val="0"/>
              <w:kinsoku/>
              <w:overflowPunct/>
              <w:topLinePunct/>
              <w:bidi w:val="0"/>
              <w:spacing w:before="0" w:beforeAutospacing="0" w:after="0" w:afterAutospacing="0" w:line="360" w:lineRule="auto"/>
              <w:ind w:left="0" w:right="0" w:firstLine="764"/>
              <w:jc w:val="both"/>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z w:val="21"/>
                <w:szCs w:val="21"/>
                <w:highlight w:val="none"/>
              </w:rPr>
              <w:t xml:space="preserve">                         </w:t>
            </w:r>
          </w:p>
        </w:tc>
        <w:tc>
          <w:tcPr>
            <w:tcW w:w="3484" w:type="pct"/>
            <w:noWrap w:val="0"/>
            <w:vAlign w:val="center"/>
          </w:tcPr>
          <w:p w14:paraId="49EB4FD6">
            <w:pPr>
              <w:pStyle w:val="124"/>
              <w:keepNext w:val="0"/>
              <w:keepLines w:val="0"/>
              <w:suppressLineNumbers w:val="0"/>
              <w:kinsoku/>
              <w:overflowPunct/>
              <w:topLinePunct/>
              <w:bidi w:val="0"/>
              <w:spacing w:before="0" w:beforeAutospacing="0" w:after="0" w:afterAutospacing="0" w:line="360" w:lineRule="auto"/>
              <w:ind w:left="0" w:right="0" w:firstLine="697"/>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20"/>
                <w:sz w:val="21"/>
                <w:szCs w:val="21"/>
                <w:highlight w:val="none"/>
              </w:rPr>
              <w:object>
                <v:shape id="_x0000_i1121" o:spt="75" type="#_x0000_t75" style="height:27pt;width:38pt;" o:ole="t" filled="f" o:preferrelative="t" stroked="f" coordsize="21600,21600">
                  <v:path/>
                  <v:fill on="f" alignshape="1" focussize="0,0"/>
                  <v:stroke on="f"/>
                  <v:imagedata r:id="rId243" o:title=""/>
                  <o:lock v:ext="edit" aspectratio="t"/>
                  <w10:wrap type="none"/>
                  <w10:anchorlock/>
                </v:shape>
                <o:OLEObject Type="Embed" ProgID="Equation.3" ShapeID="_x0000_i1121" DrawAspect="Content" ObjectID="_1468075821" r:id="rId242">
                  <o:LockedField>false</o:LockedField>
                </o:OLEObject>
              </w:object>
            </w:r>
          </w:p>
        </w:tc>
        <w:tc>
          <w:tcPr>
            <w:tcW w:w="762" w:type="pct"/>
            <w:noWrap w:val="0"/>
            <w:vAlign w:val="center"/>
          </w:tcPr>
          <w:p w14:paraId="15FF7084">
            <w:pPr>
              <w:pStyle w:val="124"/>
              <w:keepNext w:val="0"/>
              <w:keepLines w:val="0"/>
              <w:suppressLineNumbers w:val="0"/>
              <w:kinsoku/>
              <w:overflowPunct/>
              <w:topLinePunct/>
              <w:bidi w:val="0"/>
              <w:spacing w:before="0" w:beforeAutospacing="0" w:after="0" w:afterAutospacing="0" w:line="360" w:lineRule="auto"/>
              <w:ind w:left="0" w:right="0" w:firstLine="764"/>
              <w:jc w:val="both"/>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7.3</w:t>
            </w:r>
            <w:r>
              <w:rPr>
                <w:rFonts w:hint="default" w:ascii="Times New Roman" w:hAnsi="Times New Roman" w:cs="Times New Roman"/>
                <w:color w:val="auto"/>
                <w:sz w:val="21"/>
                <w:szCs w:val="21"/>
                <w:highlight w:val="none"/>
              </w:rPr>
              <w:t>.5-2）</w:t>
            </w:r>
            <w:r>
              <w:rPr>
                <w:rFonts w:hint="default" w:ascii="Times New Roman" w:hAnsi="Times New Roman" w:cs="Times New Roman"/>
                <w:bCs/>
                <w:color w:val="auto"/>
                <w:sz w:val="21"/>
                <w:szCs w:val="21"/>
                <w:highlight w:val="none"/>
              </w:rPr>
              <w:t xml:space="preserve">   </w:t>
            </w:r>
          </w:p>
        </w:tc>
      </w:tr>
    </w:tbl>
    <w:p w14:paraId="39427214">
      <w:pPr>
        <w:kinsoku/>
        <w:overflowPunct/>
        <w:topLinePunct/>
        <w:bidi w:val="0"/>
        <w:adjustRightInd w:val="0"/>
        <w:snapToGrid w:val="0"/>
        <w:spacing w:line="36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式中：</w:t>
      </w:r>
      <w:r>
        <w:rPr>
          <w:rFonts w:ascii="Times New Roman" w:hAnsi="Times New Roman" w:cs="Times New Roman"/>
          <w:color w:val="auto"/>
          <w:kern w:val="0"/>
          <w:position w:val="-10"/>
          <w:highlight w:val="none"/>
        </w:rPr>
        <w:object>
          <v:shape id="_x0000_i1122" o:spt="75" type="#_x0000_t75" style="height:15pt;width:13pt;" o:ole="t" filled="f" o:preferrelative="t" stroked="f" coordsize="21600,21600">
            <v:path/>
            <v:fill on="f" alignshape="1" focussize="0,0"/>
            <v:stroke on="f"/>
            <v:imagedata r:id="rId245" o:title=""/>
            <o:lock v:ext="edit" aspectratio="t"/>
            <w10:wrap type="none"/>
            <w10:anchorlock/>
          </v:shape>
          <o:OLEObject Type="Embed" ProgID="Equation.3" ShapeID="_x0000_i1122" DrawAspect="Content" ObjectID="_1468075822" r:id="rId244">
            <o:LockedField>false</o:LockedField>
          </o:OLEObject>
        </w:object>
      </w:r>
      <w:r>
        <w:rPr>
          <w:rFonts w:ascii="Times New Roman" w:hAnsi="Times New Roman" w:cs="Times New Roman"/>
          <w:color w:val="auto"/>
          <w:kern w:val="0"/>
          <w:highlight w:val="none"/>
        </w:rPr>
        <w:t>——加荷</w:t>
      </w:r>
      <w:r>
        <w:rPr>
          <w:rFonts w:ascii="Times New Roman" w:hAnsi="Times New Roman" w:cs="Times New Roman"/>
          <w:i/>
          <w:color w:val="auto"/>
          <w:kern w:val="0"/>
          <w:highlight w:val="none"/>
        </w:rPr>
        <w:t>t（</w:t>
      </w:r>
      <w:r>
        <w:rPr>
          <w:rFonts w:ascii="Times New Roman" w:hAnsi="Times New Roman" w:cs="Times New Roman"/>
          <w:color w:val="auto"/>
          <w:kern w:val="0"/>
          <w:highlight w:val="none"/>
        </w:rPr>
        <w:t>d）的</w:t>
      </w:r>
      <w:r>
        <w:rPr>
          <w:rFonts w:hint="default" w:ascii="Times New Roman" w:hAnsi="Times New Roman" w:cs="Times New Roman"/>
          <w:color w:val="auto"/>
          <w:kern w:val="0"/>
          <w:highlight w:val="none"/>
          <w:lang w:eastAsia="zh-CN"/>
        </w:rPr>
        <w:t>超高性能混凝土</w:t>
      </w:r>
      <w:r>
        <w:rPr>
          <w:rFonts w:ascii="Times New Roman" w:hAnsi="Times New Roman" w:cs="Times New Roman"/>
          <w:color w:val="auto"/>
          <w:kern w:val="0"/>
          <w:highlight w:val="none"/>
        </w:rPr>
        <w:t>徐变度（1/MPa），精确至</w:t>
      </w:r>
      <w:r>
        <w:rPr>
          <w:rFonts w:hint="default" w:ascii="Times New Roman" w:hAnsi="Times New Roman" w:cs="Times New Roman"/>
          <w:color w:val="auto"/>
          <w:kern w:val="0"/>
          <w:highlight w:val="none"/>
        </w:rPr>
        <w:t>1</w:t>
      </w:r>
      <w:r>
        <w:rPr>
          <w:rFonts w:ascii="Times New Roman" w:hAnsi="Times New Roman" w:cs="Times New Roman"/>
          <w:color w:val="auto"/>
          <w:kern w:val="0"/>
          <w:highlight w:val="none"/>
        </w:rPr>
        <w:t>.0</w:t>
      </w:r>
      <w:r>
        <w:rPr>
          <w:rFonts w:hint="default" w:ascii="Times New Roman" w:hAnsi="Times New Roman" w:cs="Times New Roman"/>
          <w:color w:val="auto"/>
          <w:kern w:val="0"/>
          <w:highlight w:val="none"/>
        </w:rPr>
        <w:t>×</w:t>
      </w:r>
      <w:r>
        <w:rPr>
          <w:rFonts w:ascii="Times New Roman" w:hAnsi="Times New Roman" w:cs="Times New Roman"/>
          <w:color w:val="auto"/>
          <w:kern w:val="0"/>
          <w:highlight w:val="none"/>
        </w:rPr>
        <w:t>10</w:t>
      </w:r>
      <w:r>
        <w:rPr>
          <w:rFonts w:ascii="Times New Roman" w:hAnsi="Times New Roman" w:cs="Times New Roman"/>
          <w:color w:val="auto"/>
          <w:kern w:val="0"/>
          <w:highlight w:val="none"/>
          <w:vertAlign w:val="superscript"/>
        </w:rPr>
        <w:t>-6</w:t>
      </w:r>
      <w:r>
        <w:rPr>
          <w:rFonts w:ascii="Times New Roman" w:hAnsi="Times New Roman" w:cs="Times New Roman"/>
          <w:color w:val="auto"/>
          <w:kern w:val="0"/>
          <w:highlight w:val="none"/>
        </w:rPr>
        <w:t>/MPa；</w:t>
      </w:r>
    </w:p>
    <w:p w14:paraId="7B47F129">
      <w:pPr>
        <w:kinsoku/>
        <w:overflowPunct/>
        <w:topLinePunct/>
        <w:bidi w:val="0"/>
        <w:adjustRightInd w:val="0"/>
        <w:snapToGrid w:val="0"/>
        <w:spacing w:line="360" w:lineRule="auto"/>
        <w:ind w:firstLine="644" w:firstLineChars="307"/>
        <w:rPr>
          <w:rFonts w:ascii="Times New Roman" w:hAnsi="Times New Roman" w:cs="Times New Roman"/>
          <w:color w:val="auto"/>
          <w:kern w:val="0"/>
          <w:highlight w:val="none"/>
        </w:rPr>
      </w:pPr>
      <w:r>
        <w:rPr>
          <w:rFonts w:ascii="Times New Roman" w:hAnsi="Times New Roman" w:cs="Times New Roman"/>
          <w:i/>
          <w:color w:val="auto"/>
          <w:kern w:val="0"/>
          <w:position w:val="-6"/>
          <w:highlight w:val="none"/>
        </w:rPr>
        <w:object>
          <v:shape id="_x0000_i1123" o:spt="75" type="#_x0000_t75" style="height:12pt;width:10pt;" o:ole="t" filled="f" o:preferrelative="t" stroked="f" coordsize="21600,21600">
            <v:path/>
            <v:fill on="f" alignshape="1" focussize="0,0"/>
            <v:stroke on="f"/>
            <v:imagedata r:id="rId247" o:title=""/>
            <o:lock v:ext="edit" aspectratio="t"/>
            <w10:wrap type="none"/>
            <w10:anchorlock/>
          </v:shape>
          <o:OLEObject Type="Embed" ProgID="Equation.3" ShapeID="_x0000_i1123" DrawAspect="Content" ObjectID="_1468075823" r:id="rId246">
            <o:LockedField>false</o:LockedField>
          </o:OLEObject>
        </w:object>
      </w:r>
      <w:r>
        <w:rPr>
          <w:rFonts w:ascii="Times New Roman" w:hAnsi="Times New Roman" w:cs="Times New Roman"/>
          <w:color w:val="auto"/>
          <w:kern w:val="0"/>
          <w:highlight w:val="none"/>
        </w:rPr>
        <w:t>——徐变应力（MPa）。</w:t>
      </w:r>
      <w:bookmarkStart w:id="179" w:name="_Toc146727260"/>
      <w:bookmarkStart w:id="180" w:name="_Toc146546900"/>
      <w:bookmarkStart w:id="181" w:name="_Toc197919663"/>
    </w:p>
    <w:p w14:paraId="1385B381">
      <w:pPr>
        <w:kinsoku/>
        <w:overflowPunct/>
        <w:topLinePunct/>
        <w:bidi w:val="0"/>
        <w:adjustRightInd w:val="0"/>
        <w:snapToGrid w:val="0"/>
        <w:spacing w:line="360" w:lineRule="auto"/>
        <w:ind w:firstLine="420" w:firstLineChars="200"/>
        <w:rPr>
          <w:rFonts w:ascii="Times New Roman" w:hAnsi="Times New Roman" w:cs="Times New Roman"/>
          <w:b/>
          <w:color w:val="auto"/>
          <w:highlight w:val="none"/>
        </w:rPr>
      </w:pPr>
      <w:r>
        <w:rPr>
          <w:rFonts w:ascii="Times New Roman" w:hAnsi="Times New Roman" w:eastAsia="黑体" w:cs="Times New Roman"/>
          <w:bCs/>
          <w:color w:val="auto"/>
          <w:szCs w:val="21"/>
          <w:highlight w:val="none"/>
        </w:rPr>
        <w:t xml:space="preserve">3  </w:t>
      </w:r>
      <w:r>
        <w:rPr>
          <w:rFonts w:ascii="Times New Roman" w:hAnsi="Times New Roman" w:cs="Times New Roman"/>
          <w:color w:val="auto"/>
          <w:highlight w:val="none"/>
        </w:rPr>
        <w:t>徐变系数应按下列公式计算：</w:t>
      </w:r>
      <w:bookmarkEnd w:id="179"/>
      <w:bookmarkEnd w:id="180"/>
      <w:bookmarkEnd w:id="181"/>
    </w:p>
    <w:tbl>
      <w:tblPr>
        <w:tblStyle w:val="38"/>
        <w:tblW w:w="5000" w:type="pct"/>
        <w:tblInd w:w="0" w:type="dxa"/>
        <w:tblLayout w:type="autofit"/>
        <w:tblCellMar>
          <w:top w:w="0" w:type="dxa"/>
          <w:left w:w="28" w:type="dxa"/>
          <w:bottom w:w="0" w:type="dxa"/>
          <w:right w:w="28" w:type="dxa"/>
        </w:tblCellMar>
      </w:tblPr>
      <w:tblGrid>
        <w:gridCol w:w="1221"/>
        <w:gridCol w:w="6360"/>
        <w:gridCol w:w="1830"/>
      </w:tblGrid>
      <w:tr w14:paraId="1D01F4EC">
        <w:trPr>
          <w:trHeight w:val="420" w:hRule="atLeast"/>
        </w:trPr>
        <w:tc>
          <w:tcPr>
            <w:tcW w:w="754" w:type="pct"/>
            <w:noWrap w:val="0"/>
            <w:vAlign w:val="center"/>
          </w:tcPr>
          <w:p w14:paraId="70B137CF">
            <w:pPr>
              <w:pStyle w:val="124"/>
              <w:keepNext w:val="0"/>
              <w:keepLines w:val="0"/>
              <w:suppressLineNumbers w:val="0"/>
              <w:kinsoku/>
              <w:overflowPunct/>
              <w:topLinePunct/>
              <w:bidi w:val="0"/>
              <w:spacing w:before="0" w:beforeAutospacing="0" w:after="0" w:afterAutospacing="0" w:line="360" w:lineRule="auto"/>
              <w:ind w:left="0" w:right="0" w:firstLine="764"/>
              <w:jc w:val="both"/>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z w:val="21"/>
                <w:szCs w:val="21"/>
                <w:highlight w:val="none"/>
              </w:rPr>
              <w:t xml:space="preserve">                          </w:t>
            </w:r>
          </w:p>
        </w:tc>
        <w:tc>
          <w:tcPr>
            <w:tcW w:w="3484" w:type="pct"/>
            <w:noWrap w:val="0"/>
            <w:vAlign w:val="center"/>
          </w:tcPr>
          <w:p w14:paraId="1532D941">
            <w:pPr>
              <w:pStyle w:val="124"/>
              <w:keepNext w:val="0"/>
              <w:keepLines w:val="0"/>
              <w:suppressLineNumbers w:val="0"/>
              <w:kinsoku/>
              <w:overflowPunct/>
              <w:topLinePunct/>
              <w:bidi w:val="0"/>
              <w:spacing w:before="0" w:beforeAutospacing="0" w:after="0" w:afterAutospacing="0" w:line="360" w:lineRule="auto"/>
              <w:ind w:left="0" w:right="0" w:firstLine="697"/>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26"/>
                <w:sz w:val="21"/>
                <w:szCs w:val="21"/>
                <w:highlight w:val="none"/>
              </w:rPr>
              <w:object>
                <v:shape id="_x0000_i1124" o:spt="75" type="#_x0000_t75" style="height:30pt;width:37pt;" o:ole="t" filled="f" o:preferrelative="t" stroked="f" coordsize="21600,21600">
                  <v:path/>
                  <v:fill on="f" alignshape="1" focussize="0,0"/>
                  <v:stroke on="f"/>
                  <v:imagedata r:id="rId249" o:title=""/>
                  <o:lock v:ext="edit" aspectratio="t"/>
                  <w10:wrap type="none"/>
                  <w10:anchorlock/>
                </v:shape>
                <o:OLEObject Type="Embed" ProgID="Equation.3" ShapeID="_x0000_i1124" DrawAspect="Content" ObjectID="_1468075824" r:id="rId248">
                  <o:LockedField>false</o:LockedField>
                </o:OLEObject>
              </w:object>
            </w:r>
          </w:p>
        </w:tc>
        <w:tc>
          <w:tcPr>
            <w:tcW w:w="762" w:type="pct"/>
            <w:noWrap w:val="0"/>
            <w:vAlign w:val="center"/>
          </w:tcPr>
          <w:p w14:paraId="58CA1FD1">
            <w:pPr>
              <w:pStyle w:val="124"/>
              <w:keepNext w:val="0"/>
              <w:keepLines w:val="0"/>
              <w:suppressLineNumbers w:val="0"/>
              <w:kinsoku/>
              <w:overflowPunct/>
              <w:topLinePunct/>
              <w:bidi w:val="0"/>
              <w:spacing w:before="0" w:beforeAutospacing="0" w:after="0" w:afterAutospacing="0" w:line="360" w:lineRule="auto"/>
              <w:ind w:left="0" w:right="0" w:firstLine="764"/>
              <w:jc w:val="both"/>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7.3</w:t>
            </w:r>
            <w:r>
              <w:rPr>
                <w:rFonts w:hint="default" w:ascii="Times New Roman" w:hAnsi="Times New Roman" w:cs="Times New Roman"/>
                <w:color w:val="auto"/>
                <w:sz w:val="21"/>
                <w:szCs w:val="21"/>
                <w:highlight w:val="none"/>
              </w:rPr>
              <w:t>.5-3）</w:t>
            </w:r>
            <w:r>
              <w:rPr>
                <w:rFonts w:hint="default" w:ascii="Times New Roman" w:hAnsi="Times New Roman" w:cs="Times New Roman"/>
                <w:bCs/>
                <w:color w:val="auto"/>
                <w:sz w:val="21"/>
                <w:szCs w:val="21"/>
                <w:highlight w:val="none"/>
              </w:rPr>
              <w:t xml:space="preserve">   </w:t>
            </w:r>
          </w:p>
        </w:tc>
      </w:tr>
      <w:tr w14:paraId="0C442735">
        <w:tblPrEx>
          <w:tblCellMar>
            <w:top w:w="0" w:type="dxa"/>
            <w:left w:w="28" w:type="dxa"/>
            <w:bottom w:w="0" w:type="dxa"/>
            <w:right w:w="28" w:type="dxa"/>
          </w:tblCellMar>
        </w:tblPrEx>
        <w:trPr>
          <w:trHeight w:val="420" w:hRule="atLeast"/>
        </w:trPr>
        <w:tc>
          <w:tcPr>
            <w:tcW w:w="754" w:type="pct"/>
            <w:noWrap w:val="0"/>
            <w:vAlign w:val="center"/>
          </w:tcPr>
          <w:p w14:paraId="17D05453">
            <w:pPr>
              <w:pStyle w:val="124"/>
              <w:keepNext w:val="0"/>
              <w:keepLines w:val="0"/>
              <w:suppressLineNumbers w:val="0"/>
              <w:kinsoku/>
              <w:overflowPunct/>
              <w:topLinePunct/>
              <w:bidi w:val="0"/>
              <w:spacing w:before="0" w:beforeAutospacing="0" w:after="0" w:afterAutospacing="0" w:line="360" w:lineRule="auto"/>
              <w:ind w:left="0" w:right="0" w:firstLine="764"/>
              <w:jc w:val="both"/>
              <w:rPr>
                <w:rFonts w:hint="default" w:ascii="Times New Roman" w:hAnsi="Times New Roman" w:cs="Times New Roman"/>
                <w:color w:val="auto"/>
                <w:sz w:val="21"/>
                <w:szCs w:val="21"/>
                <w:highlight w:val="none"/>
              </w:rPr>
            </w:pPr>
          </w:p>
        </w:tc>
        <w:tc>
          <w:tcPr>
            <w:tcW w:w="3484" w:type="pct"/>
            <w:noWrap w:val="0"/>
            <w:vAlign w:val="center"/>
          </w:tcPr>
          <w:p w14:paraId="409783A6">
            <w:pPr>
              <w:pStyle w:val="124"/>
              <w:keepNext w:val="0"/>
              <w:keepLines w:val="0"/>
              <w:suppressLineNumbers w:val="0"/>
              <w:kinsoku/>
              <w:overflowPunct/>
              <w:topLinePunct/>
              <w:bidi w:val="0"/>
              <w:spacing w:before="0" w:beforeAutospacing="0" w:after="0" w:afterAutospacing="0" w:line="360" w:lineRule="auto"/>
              <w:ind w:left="0" w:right="0" w:firstLine="797"/>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26"/>
                <w:highlight w:val="none"/>
              </w:rPr>
              <w:object>
                <v:shape id="_x0000_i1125" o:spt="75" type="#_x0000_t75" style="height:30pt;width:42.95pt;" o:ole="t" filled="f" o:preferrelative="t" stroked="f" coordsize="21600,21600">
                  <v:path/>
                  <v:fill on="f" alignshape="1" focussize="0,0"/>
                  <v:stroke on="f"/>
                  <v:imagedata r:id="rId251" o:title=""/>
                  <o:lock v:ext="edit" aspectratio="t"/>
                  <w10:wrap type="none"/>
                  <w10:anchorlock/>
                </v:shape>
                <o:OLEObject Type="Embed" ProgID="Equation.3" ShapeID="_x0000_i1125" DrawAspect="Content" ObjectID="_1468075825" r:id="rId250">
                  <o:LockedField>false</o:LockedField>
                </o:OLEObject>
              </w:object>
            </w:r>
          </w:p>
        </w:tc>
        <w:tc>
          <w:tcPr>
            <w:tcW w:w="762" w:type="pct"/>
            <w:noWrap w:val="0"/>
            <w:vAlign w:val="center"/>
          </w:tcPr>
          <w:p w14:paraId="1B9AB286">
            <w:pPr>
              <w:pStyle w:val="124"/>
              <w:keepNext w:val="0"/>
              <w:keepLines w:val="0"/>
              <w:suppressLineNumbers w:val="0"/>
              <w:kinsoku/>
              <w:overflowPunct/>
              <w:topLinePunct/>
              <w:bidi w:val="0"/>
              <w:spacing w:before="0" w:beforeAutospacing="0" w:after="0" w:afterAutospacing="0" w:line="360" w:lineRule="auto"/>
              <w:ind w:left="0" w:right="0" w:firstLine="764"/>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7.3</w:t>
            </w:r>
            <w:r>
              <w:rPr>
                <w:rFonts w:hint="default" w:ascii="Times New Roman" w:hAnsi="Times New Roman" w:cs="Times New Roman"/>
                <w:color w:val="auto"/>
                <w:sz w:val="21"/>
                <w:szCs w:val="21"/>
                <w:highlight w:val="none"/>
              </w:rPr>
              <w:t>.5-4）</w:t>
            </w:r>
          </w:p>
        </w:tc>
      </w:tr>
    </w:tbl>
    <w:p w14:paraId="2B86CF6A">
      <w:pPr>
        <w:kinsoku/>
        <w:overflowPunct/>
        <w:topLinePunct/>
        <w:bidi w:val="0"/>
        <w:adjustRightInd w:val="0"/>
        <w:snapToGrid w:val="0"/>
        <w:spacing w:line="36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式中：</w:t>
      </w:r>
      <w:r>
        <w:rPr>
          <w:rFonts w:ascii="Times New Roman" w:hAnsi="Times New Roman" w:cs="Times New Roman"/>
          <w:color w:val="auto"/>
          <w:kern w:val="0"/>
          <w:position w:val="-10"/>
          <w:highlight w:val="none"/>
        </w:rPr>
        <w:object>
          <v:shape id="_x0000_i1126" o:spt="75" type="#_x0000_t75" style="height:15pt;width:12pt;" o:ole="t" filled="f" o:preferrelative="t" stroked="f" coordsize="21600,21600">
            <v:path/>
            <v:fill on="f" alignshape="1" focussize="0,0"/>
            <v:stroke on="f"/>
            <v:imagedata r:id="rId253" o:title=""/>
            <o:lock v:ext="edit" aspectratio="t"/>
            <w10:wrap type="none"/>
            <w10:anchorlock/>
          </v:shape>
          <o:OLEObject Type="Embed" ProgID="Equation.3" ShapeID="_x0000_i1126" DrawAspect="Content" ObjectID="_1468075826" r:id="rId252">
            <o:LockedField>false</o:LockedField>
          </o:OLEObject>
        </w:object>
      </w:r>
      <w:r>
        <w:rPr>
          <w:rFonts w:ascii="Times New Roman" w:hAnsi="Times New Roman" w:cs="Times New Roman"/>
          <w:color w:val="auto"/>
          <w:kern w:val="0"/>
          <w:highlight w:val="none"/>
        </w:rPr>
        <w:t>——加荷</w:t>
      </w:r>
      <w:r>
        <w:rPr>
          <w:rFonts w:ascii="Times New Roman" w:hAnsi="Times New Roman" w:cs="Times New Roman"/>
          <w:i/>
          <w:color w:val="auto"/>
          <w:kern w:val="0"/>
          <w:highlight w:val="none"/>
        </w:rPr>
        <w:t>t（</w:t>
      </w:r>
      <w:r>
        <w:rPr>
          <w:rFonts w:ascii="Times New Roman" w:hAnsi="Times New Roman" w:cs="Times New Roman"/>
          <w:color w:val="auto"/>
          <w:kern w:val="0"/>
          <w:highlight w:val="none"/>
        </w:rPr>
        <w:t>d）的徐变系数，精确至</w:t>
      </w:r>
      <w:r>
        <w:rPr>
          <w:rFonts w:hint="default" w:ascii="Times New Roman" w:hAnsi="Times New Roman" w:cs="Times New Roman"/>
          <w:color w:val="auto"/>
          <w:kern w:val="0"/>
          <w:highlight w:val="none"/>
        </w:rPr>
        <w:t>0.001</w:t>
      </w:r>
      <w:r>
        <w:rPr>
          <w:rFonts w:ascii="Times New Roman" w:hAnsi="Times New Roman" w:cs="Times New Roman"/>
          <w:color w:val="auto"/>
          <w:kern w:val="0"/>
          <w:highlight w:val="none"/>
        </w:rPr>
        <w:t>；</w:t>
      </w:r>
    </w:p>
    <w:p w14:paraId="4DBE315B">
      <w:pPr>
        <w:kinsoku/>
        <w:overflowPunct/>
        <w:topLinePunct/>
        <w:bidi w:val="0"/>
        <w:adjustRightInd w:val="0"/>
        <w:snapToGrid w:val="0"/>
        <w:spacing w:line="360" w:lineRule="auto"/>
        <w:ind w:firstLine="644" w:firstLineChars="307"/>
        <w:rPr>
          <w:rFonts w:ascii="Times New Roman" w:hAnsi="Times New Roman" w:cs="Times New Roman"/>
          <w:color w:val="auto"/>
          <w:kern w:val="0"/>
          <w:highlight w:val="none"/>
        </w:rPr>
      </w:pPr>
      <w:r>
        <w:rPr>
          <w:rFonts w:ascii="Times New Roman" w:hAnsi="Times New Roman" w:cs="Times New Roman"/>
          <w:i/>
          <w:color w:val="auto"/>
          <w:kern w:val="0"/>
          <w:position w:val="-10"/>
          <w:highlight w:val="none"/>
        </w:rPr>
        <w:object>
          <v:shape id="_x0000_i1127" o:spt="75" type="#_x0000_t75" style="height:15pt;width:13pt;" o:ole="t" filled="f" o:preferrelative="t" stroked="f" coordsize="21600,21600">
            <v:path/>
            <v:fill on="f" alignshape="1" focussize="0,0"/>
            <v:stroke on="f"/>
            <v:imagedata r:id="rId255" o:title=""/>
            <o:lock v:ext="edit" aspectratio="t"/>
            <w10:wrap type="none"/>
            <w10:anchorlock/>
          </v:shape>
          <o:OLEObject Type="Embed" ProgID="Equation.3" ShapeID="_x0000_i1127" DrawAspect="Content" ObjectID="_1468075827" r:id="rId254">
            <o:LockedField>false</o:LockedField>
          </o:OLEObject>
        </w:object>
      </w:r>
      <w:r>
        <w:rPr>
          <w:rFonts w:ascii="Times New Roman" w:hAnsi="Times New Roman" w:cs="Times New Roman"/>
          <w:color w:val="auto"/>
          <w:kern w:val="0"/>
          <w:highlight w:val="none"/>
        </w:rPr>
        <w:t>——在加荷时测得的初始应变值</w:t>
      </w:r>
      <w:bookmarkStart w:id="182" w:name="_Toc146546901"/>
      <w:r>
        <w:rPr>
          <w:rFonts w:ascii="Times New Roman" w:hAnsi="Times New Roman" w:cs="Times New Roman"/>
          <w:color w:val="auto"/>
          <w:kern w:val="0"/>
          <w:highlight w:val="none"/>
        </w:rPr>
        <w:t>，精确至1.0</w:t>
      </w:r>
      <w:r>
        <w:rPr>
          <w:rFonts w:ascii="Times New Roman" w:hAnsi="Times New Roman" w:cs="Times New Roman"/>
          <w:color w:val="auto"/>
          <w:kern w:val="0"/>
          <w:highlight w:val="none"/>
        </w:rPr>
        <w:sym w:font="Symbol" w:char="F0B4"/>
      </w:r>
      <w:r>
        <w:rPr>
          <w:rFonts w:ascii="Times New Roman" w:hAnsi="Times New Roman" w:cs="Times New Roman"/>
          <w:color w:val="auto"/>
          <w:kern w:val="0"/>
          <w:highlight w:val="none"/>
        </w:rPr>
        <w:t>10</w:t>
      </w:r>
      <w:r>
        <w:rPr>
          <w:rFonts w:ascii="Times New Roman" w:hAnsi="Times New Roman" w:cs="Times New Roman"/>
          <w:color w:val="auto"/>
          <w:kern w:val="0"/>
          <w:highlight w:val="none"/>
          <w:vertAlign w:val="superscript"/>
        </w:rPr>
        <w:t>-6</w:t>
      </w:r>
      <w:r>
        <w:rPr>
          <w:rFonts w:ascii="Times New Roman" w:hAnsi="Times New Roman" w:cs="Times New Roman"/>
          <w:color w:val="auto"/>
          <w:kern w:val="0"/>
          <w:highlight w:val="none"/>
        </w:rPr>
        <w:t>。</w:t>
      </w:r>
      <w:bookmarkEnd w:id="182"/>
    </w:p>
    <w:p w14:paraId="6B4AFC1B">
      <w:pPr>
        <w:kinsoku/>
        <w:overflowPunct/>
        <w:topLinePunct/>
        <w:bidi w:val="0"/>
        <w:adjustRightInd w:val="0"/>
        <w:snapToGrid w:val="0"/>
        <w:spacing w:line="360" w:lineRule="auto"/>
        <w:ind w:firstLine="420" w:firstLineChars="200"/>
        <w:rPr>
          <w:rFonts w:ascii="Times New Roman" w:hAnsi="Times New Roman" w:cs="Times New Roman"/>
          <w:color w:val="auto"/>
          <w:kern w:val="0"/>
          <w:highlight w:val="none"/>
        </w:rPr>
      </w:pPr>
      <w:r>
        <w:rPr>
          <w:rFonts w:ascii="Times New Roman" w:hAnsi="Times New Roman" w:eastAsia="黑体" w:cs="Times New Roman"/>
          <w:bCs/>
          <w:color w:val="auto"/>
          <w:szCs w:val="21"/>
          <w:highlight w:val="none"/>
        </w:rPr>
        <w:t xml:space="preserve">4 </w:t>
      </w:r>
      <w:r>
        <w:rPr>
          <w:rFonts w:ascii="Times New Roman" w:hAnsi="Times New Roman" w:cs="Times New Roman"/>
          <w:bCs/>
          <w:color w:val="auto"/>
          <w:szCs w:val="21"/>
          <w:highlight w:val="none"/>
        </w:rPr>
        <w:t xml:space="preserve"> 每组</w:t>
      </w:r>
      <w:r>
        <w:rPr>
          <w:rFonts w:ascii="Times New Roman" w:hAnsi="Times New Roman" w:cs="Times New Roman"/>
          <w:color w:val="auto"/>
          <w:kern w:val="0"/>
          <w:highlight w:val="none"/>
        </w:rPr>
        <w:t>应分别以3个试件徐变应变</w:t>
      </w:r>
      <w:r>
        <w:rPr>
          <w:rFonts w:hint="default" w:ascii="Times New Roman" w:hAnsi="Times New Roman" w:cs="Times New Roman"/>
          <w:color w:val="auto"/>
          <w:kern w:val="0"/>
          <w:highlight w:val="none"/>
        </w:rPr>
        <w:t>、</w:t>
      </w:r>
      <w:r>
        <w:rPr>
          <w:rFonts w:ascii="Times New Roman" w:hAnsi="Times New Roman" w:cs="Times New Roman"/>
          <w:color w:val="auto"/>
          <w:kern w:val="0"/>
          <w:highlight w:val="none"/>
        </w:rPr>
        <w:t>徐变度</w:t>
      </w:r>
      <w:r>
        <w:rPr>
          <w:rFonts w:hint="default" w:ascii="Times New Roman" w:hAnsi="Times New Roman" w:cs="Times New Roman"/>
          <w:color w:val="auto"/>
          <w:kern w:val="0"/>
          <w:highlight w:val="none"/>
        </w:rPr>
        <w:t>或</w:t>
      </w:r>
      <w:r>
        <w:rPr>
          <w:rFonts w:ascii="Times New Roman" w:hAnsi="Times New Roman" w:cs="Times New Roman"/>
          <w:color w:val="auto"/>
          <w:kern w:val="0"/>
          <w:highlight w:val="none"/>
        </w:rPr>
        <w:t>徐变系数的试验结果算术平均值作为该组</w:t>
      </w:r>
      <w:r>
        <w:rPr>
          <w:rFonts w:hint="default" w:ascii="Times New Roman" w:hAnsi="Times New Roman" w:cs="Times New Roman"/>
          <w:color w:val="auto"/>
          <w:kern w:val="0"/>
          <w:highlight w:val="none"/>
          <w:lang w:eastAsia="zh-CN"/>
        </w:rPr>
        <w:t>超高性能混凝土</w:t>
      </w:r>
      <w:r>
        <w:rPr>
          <w:rFonts w:ascii="Times New Roman" w:hAnsi="Times New Roman" w:cs="Times New Roman"/>
          <w:color w:val="auto"/>
          <w:kern w:val="0"/>
          <w:highlight w:val="none"/>
        </w:rPr>
        <w:t>试件徐变应变</w:t>
      </w:r>
      <w:r>
        <w:rPr>
          <w:rFonts w:hint="default" w:ascii="Times New Roman" w:hAnsi="Times New Roman" w:cs="Times New Roman"/>
          <w:color w:val="auto"/>
          <w:kern w:val="0"/>
          <w:highlight w:val="none"/>
        </w:rPr>
        <w:t>、</w:t>
      </w:r>
      <w:r>
        <w:rPr>
          <w:rFonts w:ascii="Times New Roman" w:hAnsi="Times New Roman" w:cs="Times New Roman"/>
          <w:color w:val="auto"/>
          <w:kern w:val="0"/>
          <w:highlight w:val="none"/>
        </w:rPr>
        <w:t>徐变度</w:t>
      </w:r>
      <w:r>
        <w:rPr>
          <w:rFonts w:hint="default" w:ascii="Times New Roman" w:hAnsi="Times New Roman" w:cs="Times New Roman"/>
          <w:color w:val="auto"/>
          <w:kern w:val="0"/>
          <w:highlight w:val="none"/>
        </w:rPr>
        <w:t>或</w:t>
      </w:r>
      <w:r>
        <w:rPr>
          <w:rFonts w:ascii="Times New Roman" w:hAnsi="Times New Roman" w:cs="Times New Roman"/>
          <w:color w:val="auto"/>
          <w:kern w:val="0"/>
          <w:highlight w:val="none"/>
        </w:rPr>
        <w:t>徐变系数的测定值。</w:t>
      </w:r>
    </w:p>
    <w:p w14:paraId="1A531809">
      <w:pPr>
        <w:kinsoku/>
        <w:overflowPunct/>
        <w:topLinePunct/>
        <w:bidi w:val="0"/>
        <w:adjustRightInd w:val="0"/>
        <w:snapToGrid w:val="0"/>
        <w:spacing w:line="360" w:lineRule="auto"/>
        <w:ind w:firstLine="420" w:firstLineChars="200"/>
        <w:rPr>
          <w:rFonts w:ascii="Times New Roman" w:hAnsi="Times New Roman" w:cs="Times New Roman"/>
          <w:color w:val="auto"/>
          <w:kern w:val="0"/>
          <w:highlight w:val="none"/>
        </w:rPr>
      </w:pPr>
      <w:r>
        <w:rPr>
          <w:rFonts w:ascii="Times New Roman" w:hAnsi="Times New Roman" w:eastAsia="黑体" w:cs="Times New Roman"/>
          <w:bCs/>
          <w:color w:val="auto"/>
          <w:szCs w:val="21"/>
          <w:highlight w:val="none"/>
        </w:rPr>
        <w:t>5</w:t>
      </w:r>
      <w:r>
        <w:rPr>
          <w:rFonts w:ascii="Times New Roman" w:hAnsi="Times New Roman" w:cs="Times New Roman"/>
          <w:color w:val="auto"/>
          <w:highlight w:val="none"/>
        </w:rPr>
        <w:t xml:space="preserve">  </w:t>
      </w:r>
      <w:r>
        <w:rPr>
          <w:rFonts w:ascii="Times New Roman" w:hAnsi="Times New Roman" w:cs="Times New Roman"/>
          <w:color w:val="auto"/>
          <w:kern w:val="0"/>
          <w:highlight w:val="none"/>
        </w:rPr>
        <w:t>作为供对比用的</w:t>
      </w:r>
      <w:r>
        <w:rPr>
          <w:rFonts w:hint="default" w:ascii="Times New Roman" w:hAnsi="Times New Roman" w:cs="Times New Roman"/>
          <w:color w:val="auto"/>
          <w:kern w:val="0"/>
          <w:highlight w:val="none"/>
          <w:lang w:eastAsia="zh-CN"/>
        </w:rPr>
        <w:t>超高性能混凝土</w:t>
      </w:r>
      <w:r>
        <w:rPr>
          <w:rFonts w:ascii="Times New Roman" w:hAnsi="Times New Roman" w:cs="Times New Roman"/>
          <w:color w:val="auto"/>
          <w:kern w:val="0"/>
          <w:highlight w:val="none"/>
        </w:rPr>
        <w:t>徐变值，应采用经过标准养护的</w:t>
      </w:r>
      <w:r>
        <w:rPr>
          <w:rFonts w:hint="default" w:ascii="Times New Roman" w:hAnsi="Times New Roman" w:cs="Times New Roman"/>
          <w:color w:val="auto"/>
          <w:kern w:val="0"/>
          <w:highlight w:val="none"/>
          <w:lang w:eastAsia="zh-CN"/>
        </w:rPr>
        <w:t>超高性能混凝土</w:t>
      </w:r>
      <w:r>
        <w:rPr>
          <w:rFonts w:ascii="Times New Roman" w:hAnsi="Times New Roman" w:cs="Times New Roman"/>
          <w:color w:val="auto"/>
          <w:kern w:val="0"/>
          <w:highlight w:val="none"/>
        </w:rPr>
        <w:t>试件，在28d龄期时经受0.4倍棱柱体轴心抗压强度恒定荷载持续作用360d的徐变值。可用测得的3年徐变值作为</w:t>
      </w:r>
      <w:r>
        <w:rPr>
          <w:rFonts w:hint="default" w:ascii="Times New Roman" w:hAnsi="Times New Roman" w:cs="Times New Roman"/>
          <w:color w:val="auto"/>
          <w:kern w:val="0"/>
          <w:highlight w:val="none"/>
        </w:rPr>
        <w:t>最终</w:t>
      </w:r>
      <w:r>
        <w:rPr>
          <w:rFonts w:ascii="Times New Roman" w:hAnsi="Times New Roman" w:cs="Times New Roman"/>
          <w:color w:val="auto"/>
          <w:kern w:val="0"/>
          <w:highlight w:val="none"/>
        </w:rPr>
        <w:t>徐变值。</w:t>
      </w:r>
    </w:p>
    <w:p w14:paraId="5A46A9CA">
      <w:pPr>
        <w:numPr>
          <w:ilvl w:val="-1"/>
          <w:numId w:val="0"/>
        </w:numPr>
        <w:kinsoku/>
        <w:overflowPunct/>
        <w:bidi w:val="0"/>
        <w:spacing w:before="0" w:beforeLines="-2147483648" w:after="0" w:afterLines="-2147483648" w:line="360" w:lineRule="auto"/>
        <w:ind w:leftChars="0" w:firstLine="0" w:firstLineChars="0"/>
        <w:outlineLvl w:val="1"/>
        <w:rPr>
          <w:rFonts w:hint="default" w:ascii="Times New Roman" w:hAnsi="Times New Roman" w:eastAsia="黑体" w:cs="Times New Roman"/>
          <w:color w:val="auto"/>
          <w:sz w:val="21"/>
          <w:szCs w:val="21"/>
          <w:highlight w:val="none"/>
          <w:lang w:val="en-US" w:eastAsia="zh-CN" w:bidi="ar-SA"/>
        </w:rPr>
      </w:pPr>
      <w:r>
        <w:rPr>
          <w:rFonts w:hint="default" w:ascii="Times New Roman" w:hAnsi="Times New Roman" w:eastAsia="黑体" w:cs="Times New Roman"/>
          <w:color w:val="auto"/>
          <w:sz w:val="21"/>
          <w:szCs w:val="21"/>
          <w:highlight w:val="none"/>
          <w:lang w:val="en-US" w:eastAsia="zh-CN" w:bidi="ar-SA"/>
        </w:rPr>
        <w:br w:type="page"/>
      </w:r>
      <w:bookmarkStart w:id="183" w:name="_Toc2625"/>
      <w:r>
        <w:rPr>
          <w:rFonts w:hint="default" w:ascii="Times New Roman" w:hAnsi="Times New Roman" w:eastAsia="黑体" w:cs="Times New Roman"/>
          <w:color w:val="auto"/>
          <w:sz w:val="21"/>
          <w:szCs w:val="21"/>
          <w:highlight w:val="none"/>
          <w:lang w:val="en-US" w:eastAsia="zh-CN" w:bidi="ar-SA"/>
        </w:rPr>
        <w:t>7.</w:t>
      </w:r>
      <w:r>
        <w:rPr>
          <w:rFonts w:hint="eastAsia" w:eastAsia="黑体" w:cs="Times New Roman"/>
          <w:color w:val="auto"/>
          <w:sz w:val="21"/>
          <w:szCs w:val="21"/>
          <w:highlight w:val="none"/>
          <w:lang w:val="en-US" w:eastAsia="zh-CN" w:bidi="ar-SA"/>
        </w:rPr>
        <w:t>5</w:t>
      </w:r>
      <w:r>
        <w:rPr>
          <w:rFonts w:hint="default" w:ascii="Times New Roman" w:hAnsi="Times New Roman" w:eastAsia="黑体" w:cs="Times New Roman"/>
          <w:color w:val="auto"/>
          <w:sz w:val="21"/>
          <w:szCs w:val="21"/>
          <w:highlight w:val="none"/>
          <w:lang w:val="en-US" w:eastAsia="zh-CN" w:bidi="ar-SA"/>
        </w:rPr>
        <w:t xml:space="preserve"> 快速氯离子迁移系数法（RCM法）</w:t>
      </w:r>
      <w:bookmarkEnd w:id="183"/>
    </w:p>
    <w:p w14:paraId="6F08C6B1">
      <w:pPr>
        <w:kinsoku/>
        <w:overflowPunct/>
        <w:autoSpaceDE w:val="0"/>
        <w:autoSpaceDN w:val="0"/>
        <w:bidi w:val="0"/>
        <w:spacing w:line="360" w:lineRule="auto"/>
        <w:jc w:val="center"/>
        <w:rPr>
          <w:rFonts w:ascii="Times New Roman" w:hAnsi="Times New Roman" w:cs="Times New Roman"/>
          <w:color w:val="auto"/>
          <w:highlight w:val="none"/>
        </w:rPr>
      </w:pPr>
    </w:p>
    <w:p w14:paraId="6FB9DD28">
      <w:pPr>
        <w:pageBreakBefore w:val="0"/>
        <w:widowControl w:val="0"/>
        <w:kinsoku/>
        <w:wordWrap/>
        <w:overflowPunct/>
        <w:topLinePunct/>
        <w:autoSpaceDE/>
        <w:autoSpaceDN/>
        <w:bidi w:val="0"/>
        <w:adjustRightInd w:val="0"/>
        <w:snapToGrid w:val="0"/>
        <w:spacing w:line="360" w:lineRule="auto"/>
        <w:textAlignment w:val="auto"/>
        <w:rPr>
          <w:rFonts w:ascii="Times New Roman" w:hAnsi="Times New Roman" w:cs="Times New Roman"/>
          <w:color w:val="auto"/>
          <w:highlight w:val="none"/>
        </w:rPr>
      </w:pPr>
      <w:r>
        <w:rPr>
          <w:rFonts w:hint="default" w:ascii="Times New Roman" w:hAnsi="Times New Roman" w:eastAsia="黑体" w:cs="Times New Roman"/>
          <w:b/>
          <w:bCs/>
          <w:color w:val="auto"/>
          <w:szCs w:val="21"/>
          <w:highlight w:val="none"/>
          <w:lang w:eastAsia="zh-CN"/>
        </w:rPr>
        <w:t>7.</w:t>
      </w:r>
      <w:r>
        <w:rPr>
          <w:rFonts w:hint="eastAsia" w:eastAsia="黑体" w:cs="Times New Roman"/>
          <w:b/>
          <w:bCs/>
          <w:color w:val="auto"/>
          <w:szCs w:val="21"/>
          <w:highlight w:val="none"/>
          <w:lang w:val="en-US" w:eastAsia="zh-CN"/>
        </w:rPr>
        <w:t>5</w:t>
      </w:r>
      <w:r>
        <w:rPr>
          <w:rFonts w:ascii="Times New Roman" w:hAnsi="Times New Roman" w:eastAsia="黑体" w:cs="Times New Roman"/>
          <w:b/>
          <w:bCs/>
          <w:color w:val="auto"/>
          <w:szCs w:val="21"/>
          <w:highlight w:val="none"/>
        </w:rPr>
        <w:t>.1</w:t>
      </w:r>
      <w:r>
        <w:rPr>
          <w:rFonts w:ascii="Times New Roman" w:hAnsi="Times New Roman" w:eastAsia="黑体" w:cs="Times New Roman"/>
          <w:b/>
          <w:bCs/>
          <w:color w:val="auto"/>
          <w:highlight w:val="none"/>
        </w:rPr>
        <w:t xml:space="preserve"> </w:t>
      </w:r>
      <w:r>
        <w:rPr>
          <w:rFonts w:ascii="Times New Roman" w:hAnsi="Times New Roman" w:eastAsia="黑体" w:cs="Times New Roman"/>
          <w:bCs/>
          <w:color w:val="auto"/>
          <w:highlight w:val="none"/>
        </w:rPr>
        <w:t xml:space="preserve"> </w:t>
      </w:r>
      <w:r>
        <w:rPr>
          <w:rFonts w:ascii="Times New Roman" w:hAnsi="Times New Roman" w:cs="Times New Roman"/>
          <w:bCs/>
          <w:color w:val="auto"/>
          <w:highlight w:val="none"/>
        </w:rPr>
        <w:t>本方法适用于以测定氯离子在</w:t>
      </w:r>
      <w:r>
        <w:rPr>
          <w:rFonts w:hint="eastAsia" w:ascii="Times New Roman" w:hAnsi="Times New Roman" w:cs="Times New Roman"/>
          <w:bCs/>
          <w:color w:val="auto"/>
          <w:highlight w:val="none"/>
          <w:lang w:val="en-US" w:eastAsia="zh-CN"/>
        </w:rPr>
        <w:t>不含钢纤维</w:t>
      </w:r>
      <w:r>
        <w:rPr>
          <w:rFonts w:hint="default" w:ascii="Times New Roman" w:hAnsi="Times New Roman" w:cs="Times New Roman"/>
          <w:bCs/>
          <w:color w:val="auto"/>
          <w:highlight w:val="none"/>
          <w:lang w:eastAsia="zh-CN"/>
        </w:rPr>
        <w:t>超高性能混凝土</w:t>
      </w:r>
      <w:r>
        <w:rPr>
          <w:rFonts w:ascii="Times New Roman" w:hAnsi="Times New Roman" w:cs="Times New Roman"/>
          <w:bCs/>
          <w:color w:val="auto"/>
          <w:highlight w:val="none"/>
        </w:rPr>
        <w:t>中非稳态迁移的迁移系数来确定</w:t>
      </w:r>
      <w:r>
        <w:rPr>
          <w:rFonts w:hint="default" w:ascii="Times New Roman" w:hAnsi="Times New Roman" w:cs="Times New Roman"/>
          <w:bCs/>
          <w:color w:val="auto"/>
          <w:highlight w:val="none"/>
          <w:lang w:eastAsia="zh-CN"/>
        </w:rPr>
        <w:t>超高性能混凝土</w:t>
      </w:r>
      <w:r>
        <w:rPr>
          <w:rFonts w:ascii="Times New Roman" w:hAnsi="Times New Roman" w:cs="Times New Roman"/>
          <w:bCs/>
          <w:color w:val="auto"/>
          <w:highlight w:val="none"/>
        </w:rPr>
        <w:t>抗氯离子渗透性能</w:t>
      </w:r>
      <w:r>
        <w:rPr>
          <w:rFonts w:ascii="Times New Roman" w:hAnsi="Times New Roman" w:eastAsia="黑体" w:cs="Times New Roman"/>
          <w:bCs/>
          <w:color w:val="auto"/>
          <w:highlight w:val="none"/>
        </w:rPr>
        <w:t>。</w:t>
      </w:r>
    </w:p>
    <w:p w14:paraId="6D023DE8">
      <w:pPr>
        <w:pageBreakBefore w:val="0"/>
        <w:widowControl w:val="0"/>
        <w:kinsoku/>
        <w:wordWrap/>
        <w:overflowPunct/>
        <w:topLinePunct/>
        <w:autoSpaceDE/>
        <w:autoSpaceDN/>
        <w:bidi w:val="0"/>
        <w:adjustRightInd w:val="0"/>
        <w:snapToGrid w:val="0"/>
        <w:spacing w:line="360" w:lineRule="auto"/>
        <w:textAlignment w:val="auto"/>
        <w:rPr>
          <w:rFonts w:ascii="Times New Roman" w:hAnsi="Times New Roman" w:cs="Times New Roman"/>
          <w:bCs/>
          <w:color w:val="auto"/>
          <w:highlight w:val="none"/>
        </w:rPr>
      </w:pPr>
      <w:r>
        <w:rPr>
          <w:rFonts w:hint="default" w:ascii="Times New Roman" w:hAnsi="Times New Roman" w:eastAsia="黑体" w:cs="Times New Roman"/>
          <w:b/>
          <w:bCs/>
          <w:color w:val="auto"/>
          <w:szCs w:val="21"/>
          <w:highlight w:val="none"/>
          <w:lang w:eastAsia="zh-CN"/>
        </w:rPr>
        <w:t>7.</w:t>
      </w:r>
      <w:r>
        <w:rPr>
          <w:rFonts w:hint="eastAsia" w:eastAsia="黑体" w:cs="Times New Roman"/>
          <w:b/>
          <w:bCs/>
          <w:color w:val="auto"/>
          <w:szCs w:val="21"/>
          <w:highlight w:val="none"/>
          <w:lang w:val="en-US" w:eastAsia="zh-CN"/>
        </w:rPr>
        <w:t>5</w:t>
      </w:r>
      <w:r>
        <w:rPr>
          <w:rFonts w:ascii="Times New Roman" w:hAnsi="Times New Roman" w:eastAsia="黑体" w:cs="Times New Roman"/>
          <w:b/>
          <w:bCs/>
          <w:color w:val="auto"/>
          <w:szCs w:val="21"/>
          <w:highlight w:val="none"/>
        </w:rPr>
        <w:t>.2</w:t>
      </w:r>
      <w:r>
        <w:rPr>
          <w:rFonts w:ascii="Times New Roman" w:hAnsi="Times New Roman" w:eastAsia="黑体" w:cs="Times New Roman"/>
          <w:b/>
          <w:bCs/>
          <w:color w:val="auto"/>
          <w:highlight w:val="none"/>
        </w:rPr>
        <w:t xml:space="preserve">  </w:t>
      </w:r>
      <w:r>
        <w:rPr>
          <w:rFonts w:ascii="Times New Roman" w:hAnsi="Times New Roman" w:cs="Times New Roman"/>
          <w:bCs/>
          <w:color w:val="auto"/>
          <w:highlight w:val="none"/>
        </w:rPr>
        <w:t>试验所用试剂、仪器设备</w:t>
      </w:r>
      <w:r>
        <w:rPr>
          <w:rFonts w:hint="default" w:ascii="Times New Roman" w:hAnsi="Times New Roman" w:cs="Times New Roman"/>
          <w:bCs/>
          <w:color w:val="auto"/>
          <w:highlight w:val="none"/>
        </w:rPr>
        <w:t>、</w:t>
      </w:r>
      <w:r>
        <w:rPr>
          <w:rFonts w:ascii="Times New Roman" w:hAnsi="Times New Roman" w:cs="Times New Roman"/>
          <w:bCs/>
          <w:color w:val="auto"/>
          <w:highlight w:val="none"/>
        </w:rPr>
        <w:t>溶液和指示剂应符合下列规定：</w:t>
      </w:r>
    </w:p>
    <w:p w14:paraId="457BAD1F">
      <w:pPr>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bCs/>
          <w:color w:val="auto"/>
          <w:highlight w:val="none"/>
        </w:rPr>
      </w:pPr>
      <w:r>
        <w:rPr>
          <w:rFonts w:ascii="Times New Roman" w:hAnsi="Times New Roman" w:eastAsia="黑体" w:cs="Times New Roman"/>
          <w:b/>
          <w:bCs/>
          <w:color w:val="auto"/>
          <w:szCs w:val="21"/>
          <w:highlight w:val="none"/>
        </w:rPr>
        <w:t>1</w:t>
      </w:r>
      <w:r>
        <w:rPr>
          <w:rFonts w:ascii="Times New Roman" w:hAnsi="Times New Roman" w:cs="Times New Roman"/>
          <w:bCs/>
          <w:color w:val="auto"/>
          <w:highlight w:val="none"/>
        </w:rPr>
        <w:t xml:space="preserve">  试剂应符合下列规定：</w:t>
      </w:r>
    </w:p>
    <w:p w14:paraId="611736B7">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bCs/>
          <w:color w:val="auto"/>
          <w:highlight w:val="none"/>
        </w:rPr>
      </w:pPr>
      <w:r>
        <w:rPr>
          <w:rFonts w:ascii="Times New Roman" w:hAnsi="Times New Roman" w:cs="Times New Roman"/>
          <w:bCs/>
          <w:color w:val="auto"/>
          <w:highlight w:val="none"/>
        </w:rPr>
        <w:t>1）溶剂应采用蒸馏水或去离子水。</w:t>
      </w:r>
    </w:p>
    <w:p w14:paraId="40E65477">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bCs/>
          <w:color w:val="auto"/>
          <w:highlight w:val="none"/>
        </w:rPr>
      </w:pPr>
      <w:r>
        <w:rPr>
          <w:rFonts w:ascii="Times New Roman" w:hAnsi="Times New Roman" w:cs="Times New Roman"/>
          <w:bCs/>
          <w:color w:val="auto"/>
          <w:highlight w:val="none"/>
        </w:rPr>
        <w:t>2）氢氧化钠应为化学纯。</w:t>
      </w:r>
    </w:p>
    <w:p w14:paraId="4E7BCCEE">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bCs/>
          <w:color w:val="auto"/>
          <w:highlight w:val="none"/>
        </w:rPr>
      </w:pPr>
      <w:r>
        <w:rPr>
          <w:rFonts w:ascii="Times New Roman" w:hAnsi="Times New Roman" w:cs="Times New Roman"/>
          <w:bCs/>
          <w:color w:val="auto"/>
          <w:highlight w:val="none"/>
        </w:rPr>
        <w:t>3）氯化钠应为化学纯。</w:t>
      </w:r>
    </w:p>
    <w:p w14:paraId="0D277675">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bCs/>
          <w:color w:val="auto"/>
          <w:highlight w:val="none"/>
        </w:rPr>
      </w:pPr>
      <w:r>
        <w:rPr>
          <w:rFonts w:ascii="Times New Roman" w:hAnsi="Times New Roman" w:cs="Times New Roman"/>
          <w:bCs/>
          <w:color w:val="auto"/>
          <w:highlight w:val="none"/>
        </w:rPr>
        <w:t>4）硝酸银应为化学纯。</w:t>
      </w:r>
    </w:p>
    <w:p w14:paraId="01D38B55">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bCs/>
          <w:color w:val="auto"/>
          <w:highlight w:val="none"/>
        </w:rPr>
      </w:pPr>
      <w:r>
        <w:rPr>
          <w:rFonts w:ascii="Times New Roman" w:hAnsi="Times New Roman" w:cs="Times New Roman"/>
          <w:bCs/>
          <w:color w:val="auto"/>
          <w:highlight w:val="none"/>
        </w:rPr>
        <w:t>5）氢氧化钙应为化学纯。</w:t>
      </w:r>
    </w:p>
    <w:p w14:paraId="3AEA36B4">
      <w:pPr>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bCs/>
          <w:color w:val="auto"/>
          <w:highlight w:val="none"/>
        </w:rPr>
      </w:pPr>
      <w:r>
        <w:rPr>
          <w:rFonts w:ascii="Times New Roman" w:hAnsi="Times New Roman" w:eastAsia="黑体" w:cs="Times New Roman"/>
          <w:b/>
          <w:bCs/>
          <w:color w:val="auto"/>
          <w:szCs w:val="21"/>
          <w:highlight w:val="none"/>
        </w:rPr>
        <w:t>2</w:t>
      </w:r>
      <w:r>
        <w:rPr>
          <w:rFonts w:ascii="Times New Roman" w:hAnsi="Times New Roman" w:cs="Times New Roman"/>
          <w:bCs/>
          <w:color w:val="auto"/>
          <w:highlight w:val="none"/>
        </w:rPr>
        <w:t xml:space="preserve">  仪器设备应符合下列规定：</w:t>
      </w:r>
    </w:p>
    <w:p w14:paraId="34259FBB">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bCs/>
          <w:color w:val="auto"/>
          <w:highlight w:val="none"/>
        </w:rPr>
      </w:pPr>
      <w:r>
        <w:rPr>
          <w:rFonts w:ascii="Times New Roman" w:hAnsi="Times New Roman" w:cs="Times New Roman"/>
          <w:bCs/>
          <w:color w:val="auto"/>
          <w:highlight w:val="none"/>
        </w:rPr>
        <w:t>1）</w:t>
      </w:r>
      <w:r>
        <w:rPr>
          <w:rFonts w:ascii="Times New Roman" w:hAnsi="Times New Roman" w:cs="Times New Roman"/>
          <w:color w:val="auto"/>
          <w:highlight w:val="none"/>
        </w:rPr>
        <w:t>切割试件的设备应采用水冷式金刚石锯或碳化硅锯。</w:t>
      </w:r>
    </w:p>
    <w:p w14:paraId="318F1E95">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bCs/>
          <w:color w:val="auto"/>
          <w:highlight w:val="none"/>
        </w:rPr>
      </w:pPr>
      <w:r>
        <w:rPr>
          <w:rFonts w:ascii="Times New Roman" w:hAnsi="Times New Roman" w:cs="Times New Roman"/>
          <w:bCs/>
          <w:color w:val="auto"/>
          <w:highlight w:val="none"/>
        </w:rPr>
        <w:t>2）真空容器应能容纳3个试件。</w:t>
      </w:r>
    </w:p>
    <w:p w14:paraId="6C79F5EC">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bCs/>
          <w:color w:val="auto"/>
          <w:highlight w:val="none"/>
        </w:rPr>
      </w:pPr>
      <w:r>
        <w:rPr>
          <w:rFonts w:ascii="Times New Roman" w:hAnsi="Times New Roman" w:cs="Times New Roman"/>
          <w:bCs/>
          <w:color w:val="auto"/>
          <w:highlight w:val="none"/>
        </w:rPr>
        <w:t>3）真空泵应能保持容器内的气压处于（1～5）kPa。</w:t>
      </w:r>
    </w:p>
    <w:p w14:paraId="3BDA8334">
      <w:pPr>
        <w:pageBreakBefore w:val="0"/>
        <w:widowControl w:val="0"/>
        <w:kinsoku/>
        <w:wordWrap/>
        <w:overflowPunct/>
        <w:topLinePunct/>
        <w:autoSpaceDE/>
        <w:autoSpaceDN/>
        <w:bidi w:val="0"/>
        <w:adjustRightInd w:val="0"/>
        <w:snapToGrid w:val="0"/>
        <w:spacing w:line="360" w:lineRule="auto"/>
        <w:ind w:left="630" w:leftChars="300"/>
        <w:textAlignment w:val="auto"/>
        <w:rPr>
          <w:rFonts w:ascii="Times New Roman" w:hAnsi="Times New Roman" w:cs="Times New Roman"/>
          <w:bCs/>
          <w:color w:val="auto"/>
          <w:highlight w:val="none"/>
        </w:rPr>
      </w:pPr>
      <w:r>
        <w:rPr>
          <w:rFonts w:ascii="Times New Roman" w:hAnsi="Times New Roman" w:cs="Times New Roman"/>
          <w:bCs/>
          <w:color w:val="auto"/>
          <w:highlight w:val="none"/>
        </w:rPr>
        <w:t>4）RCM试验装置（图</w:t>
      </w:r>
      <w:r>
        <w:rPr>
          <w:rFonts w:hint="default" w:ascii="Times New Roman" w:hAnsi="Times New Roman" w:cs="Times New Roman"/>
          <w:bCs/>
          <w:color w:val="auto"/>
          <w:highlight w:val="none"/>
          <w:lang w:eastAsia="zh-CN"/>
        </w:rPr>
        <w:t>7.4</w:t>
      </w:r>
      <w:r>
        <w:rPr>
          <w:rFonts w:ascii="Times New Roman" w:hAnsi="Times New Roman" w:cs="Times New Roman"/>
          <w:bCs/>
          <w:color w:val="auto"/>
          <w:highlight w:val="none"/>
        </w:rPr>
        <w:t>.2）采用的有机硅橡胶套的内径和外径应分别为100mm和115mm，长度应为150mm。夹具应采用不锈钢环箍，其直径应为（105～115）mm、宽度应为20mm。阴极试验槽可采用</w:t>
      </w:r>
      <w:r>
        <w:rPr>
          <w:rFonts w:hint="default" w:ascii="Times New Roman" w:hAnsi="Times New Roman" w:cs="Times New Roman"/>
          <w:bCs/>
          <w:color w:val="auto"/>
          <w:highlight w:val="none"/>
        </w:rPr>
        <w:t>3个</w:t>
      </w:r>
      <w:r>
        <w:rPr>
          <w:rFonts w:ascii="Times New Roman" w:hAnsi="Times New Roman" w:cs="Times New Roman"/>
          <w:bCs/>
          <w:color w:val="auto"/>
          <w:highlight w:val="none"/>
        </w:rPr>
        <w:t>尺寸为</w:t>
      </w:r>
      <w:r>
        <w:rPr>
          <w:rFonts w:hint="default" w:ascii="Times New Roman" w:hAnsi="Times New Roman" w:cs="Times New Roman"/>
          <w:bCs/>
          <w:color w:val="auto"/>
          <w:highlight w:val="none"/>
        </w:rPr>
        <w:t>260mm</w:t>
      </w:r>
      <w:r>
        <w:rPr>
          <w:rFonts w:ascii="Times New Roman" w:hAnsi="Times New Roman" w:cs="Times New Roman"/>
          <w:bCs/>
          <w:color w:val="auto"/>
          <w:highlight w:val="none"/>
        </w:rPr>
        <w:t>×</w:t>
      </w:r>
      <w:r>
        <w:rPr>
          <w:rFonts w:hint="default" w:ascii="Times New Roman" w:hAnsi="Times New Roman" w:cs="Times New Roman"/>
          <w:bCs/>
          <w:color w:val="auto"/>
          <w:highlight w:val="none"/>
        </w:rPr>
        <w:t>200mm</w:t>
      </w:r>
      <w:r>
        <w:rPr>
          <w:rFonts w:ascii="Times New Roman" w:hAnsi="Times New Roman" w:cs="Times New Roman"/>
          <w:bCs/>
          <w:color w:val="auto"/>
          <w:highlight w:val="none"/>
        </w:rPr>
        <w:t>×</w:t>
      </w:r>
      <w:r>
        <w:rPr>
          <w:rFonts w:hint="default" w:ascii="Times New Roman" w:hAnsi="Times New Roman" w:cs="Times New Roman"/>
          <w:bCs/>
          <w:color w:val="auto"/>
          <w:highlight w:val="none"/>
        </w:rPr>
        <w:t>280mm的塑料箱（盛放单个支架）或内有隔板的尺寸为</w:t>
      </w:r>
      <w:r>
        <w:rPr>
          <w:rFonts w:ascii="Times New Roman" w:hAnsi="Times New Roman" w:cs="Times New Roman"/>
          <w:bCs/>
          <w:color w:val="auto"/>
          <w:highlight w:val="none"/>
        </w:rPr>
        <w:t>370mm×270mm×280mm的塑料箱</w:t>
      </w:r>
      <w:r>
        <w:rPr>
          <w:rFonts w:hint="default" w:ascii="Times New Roman" w:hAnsi="Times New Roman" w:cs="Times New Roman"/>
          <w:bCs/>
          <w:color w:val="auto"/>
          <w:highlight w:val="none"/>
        </w:rPr>
        <w:t>（分别盛放3个支架）</w:t>
      </w:r>
      <w:r>
        <w:rPr>
          <w:rFonts w:ascii="Times New Roman" w:hAnsi="Times New Roman" w:cs="Times New Roman"/>
          <w:bCs/>
          <w:color w:val="auto"/>
          <w:highlight w:val="none"/>
        </w:rPr>
        <w:t>。阴极板应采用厚度为（0.5</w:t>
      </w:r>
      <w:r>
        <w:rPr>
          <w:rFonts w:ascii="Times New Roman" w:hAnsi="Times New Roman" w:cs="Times New Roman"/>
          <w:bCs/>
          <w:color w:val="auto"/>
          <w:position w:val="-4"/>
          <w:highlight w:val="none"/>
        </w:rPr>
        <w:object>
          <v:shape id="_x0000_i1128" o:spt="75" type="#_x0000_t75" style="height:11pt;width:10pt;" o:ole="t" filled="f" o:preferrelative="t" stroked="f" coordsize="21600,21600">
            <v:path/>
            <v:fill on="f" alignshape="1" focussize="0,0"/>
            <v:stroke on="f"/>
            <v:imagedata r:id="rId257" o:title=""/>
            <o:lock v:ext="edit" aspectratio="t"/>
            <w10:wrap type="none"/>
            <w10:anchorlock/>
          </v:shape>
          <o:OLEObject Type="Embed" ProgID="Equation.3" ShapeID="_x0000_i1128" DrawAspect="Content" ObjectID="_1468075828" r:id="rId256">
            <o:LockedField>false</o:LockedField>
          </o:OLEObject>
        </w:object>
      </w:r>
      <w:r>
        <w:rPr>
          <w:rFonts w:ascii="Times New Roman" w:hAnsi="Times New Roman" w:cs="Times New Roman"/>
          <w:bCs/>
          <w:color w:val="auto"/>
          <w:highlight w:val="none"/>
        </w:rPr>
        <w:t>0.1）mm、直径不小于100mm的不锈钢板。阳极板应采用厚度为0.5mm、直径为（98</w:t>
      </w:r>
      <w:r>
        <w:rPr>
          <w:rFonts w:ascii="Times New Roman" w:hAnsi="Times New Roman" w:cs="Times New Roman"/>
          <w:bCs/>
          <w:color w:val="auto"/>
          <w:position w:val="-4"/>
          <w:highlight w:val="none"/>
        </w:rPr>
        <w:object>
          <v:shape id="_x0000_i1129" o:spt="75" type="#_x0000_t75" style="height:11pt;width:10pt;" o:ole="t" filled="f" o:preferrelative="t" stroked="f" coordsize="21600,21600">
            <v:path/>
            <v:fill on="f" alignshape="1" focussize="0,0"/>
            <v:stroke on="f"/>
            <v:imagedata r:id="rId257" o:title=""/>
            <o:lock v:ext="edit" aspectratio="t"/>
            <w10:wrap type="none"/>
            <w10:anchorlock/>
          </v:shape>
          <o:OLEObject Type="Embed" ProgID="Equation.3" ShapeID="_x0000_i1129" DrawAspect="Content" ObjectID="_1468075829" r:id="rId258">
            <o:LockedField>false</o:LockedField>
          </o:OLEObject>
        </w:object>
      </w:r>
      <w:r>
        <w:rPr>
          <w:rFonts w:ascii="Times New Roman" w:hAnsi="Times New Roman" w:cs="Times New Roman"/>
          <w:bCs/>
          <w:color w:val="auto"/>
          <w:highlight w:val="none"/>
        </w:rPr>
        <w:t>1）mm的</w:t>
      </w:r>
      <w:r>
        <w:rPr>
          <w:rFonts w:hint="eastAsia" w:ascii="Times New Roman" w:hAnsi="Times New Roman" w:cs="Times New Roman"/>
          <w:bCs/>
          <w:color w:val="auto"/>
          <w:highlight w:val="none"/>
          <w:lang w:val="en-US" w:eastAsia="zh-CN"/>
        </w:rPr>
        <w:t>不锈钢</w:t>
      </w:r>
      <w:r>
        <w:rPr>
          <w:rFonts w:ascii="Times New Roman" w:hAnsi="Times New Roman" w:cs="Times New Roman"/>
          <w:bCs/>
          <w:color w:val="auto"/>
          <w:highlight w:val="none"/>
        </w:rPr>
        <w:t>网或带孔的</w:t>
      </w:r>
      <w:r>
        <w:rPr>
          <w:rFonts w:hint="eastAsia" w:ascii="Times New Roman" w:hAnsi="Times New Roman" w:cs="Times New Roman"/>
          <w:bCs/>
          <w:color w:val="auto"/>
          <w:highlight w:val="none"/>
          <w:lang w:val="en-US" w:eastAsia="zh-CN"/>
        </w:rPr>
        <w:t>不锈钢</w:t>
      </w:r>
      <w:r>
        <w:rPr>
          <w:rFonts w:ascii="Times New Roman" w:hAnsi="Times New Roman" w:cs="Times New Roman"/>
          <w:bCs/>
          <w:color w:val="auto"/>
          <w:highlight w:val="none"/>
        </w:rPr>
        <w:t>板。支架应由硬塑料板制成。处于试件和阴极板之间的支架头高度应为（15～20）mm。RCM试验装置所用材料还应符合现行行业标准</w:t>
      </w:r>
      <w:r>
        <w:rPr>
          <w:rFonts w:hint="default" w:ascii="Times New Roman" w:hAnsi="Times New Roman" w:cs="Times New Roman"/>
          <w:bCs/>
          <w:color w:val="auto"/>
          <w:highlight w:val="none"/>
        </w:rPr>
        <w:t>《</w:t>
      </w:r>
      <w:r>
        <w:rPr>
          <w:rFonts w:hint="default" w:ascii="Times New Roman" w:hAnsi="Times New Roman" w:cs="Times New Roman"/>
          <w:bCs/>
          <w:color w:val="auto"/>
          <w:highlight w:val="none"/>
          <w:lang w:eastAsia="zh-CN"/>
        </w:rPr>
        <w:t>超高性能混凝土</w:t>
      </w:r>
      <w:r>
        <w:rPr>
          <w:rFonts w:hint="default" w:ascii="Times New Roman" w:hAnsi="Times New Roman" w:cs="Times New Roman"/>
          <w:bCs/>
          <w:color w:val="auto"/>
          <w:highlight w:val="none"/>
        </w:rPr>
        <w:t>氯离子扩散系数测定仪》JG/T 262的有关规定。</w:t>
      </w:r>
    </w:p>
    <w:p w14:paraId="2248E917">
      <w:pPr>
        <w:pageBreakBefore w:val="0"/>
        <w:widowControl w:val="0"/>
        <w:kinsoku/>
        <w:wordWrap/>
        <w:overflowPunct/>
        <w:topLinePunct/>
        <w:autoSpaceDE/>
        <w:autoSpaceDN/>
        <w:bidi w:val="0"/>
        <w:adjustRightInd w:val="0"/>
        <w:snapToGrid w:val="0"/>
        <w:spacing w:line="360" w:lineRule="auto"/>
        <w:ind w:left="630" w:leftChars="300"/>
        <w:textAlignment w:val="auto"/>
        <w:rPr>
          <w:rFonts w:ascii="Times New Roman" w:hAnsi="Times New Roman" w:cs="Times New Roman"/>
          <w:color w:val="auto"/>
          <w:highlight w:val="none"/>
        </w:rPr>
      </w:pPr>
      <w:r>
        <w:rPr>
          <w:rFonts w:ascii="Times New Roman" w:hAnsi="Times New Roman" w:cs="Times New Roman"/>
          <w:bCs/>
          <w:color w:val="auto"/>
          <w:highlight w:val="none"/>
        </w:rPr>
        <w:t>5）电源应稳定提供（0～</w:t>
      </w:r>
      <w:r>
        <w:rPr>
          <w:rFonts w:hint="default" w:ascii="Times New Roman" w:hAnsi="Times New Roman" w:cs="Times New Roman"/>
          <w:bCs/>
          <w:color w:val="auto"/>
          <w:highlight w:val="none"/>
          <w:lang w:val="en-US" w:eastAsia="zh-CN"/>
        </w:rPr>
        <w:t>90</w:t>
      </w:r>
      <w:r>
        <w:rPr>
          <w:rFonts w:ascii="Times New Roman" w:hAnsi="Times New Roman" w:cs="Times New Roman"/>
          <w:bCs/>
          <w:color w:val="auto"/>
          <w:highlight w:val="none"/>
        </w:rPr>
        <w:t>）V的可调直流电，精度应为</w:t>
      </w:r>
      <w:r>
        <w:rPr>
          <w:rFonts w:ascii="Times New Roman" w:hAnsi="Times New Roman" w:cs="Times New Roman"/>
          <w:bCs/>
          <w:color w:val="auto"/>
          <w:position w:val="-4"/>
          <w:highlight w:val="none"/>
        </w:rPr>
        <w:object>
          <v:shape id="_x0000_i1130" o:spt="75" type="#_x0000_t75" style="height:11pt;width:10pt;" o:ole="t" filled="f" o:preferrelative="t" stroked="f" coordsize="21600,21600">
            <v:path/>
            <v:fill on="f" alignshape="1" focussize="0,0"/>
            <v:stroke on="f"/>
            <v:imagedata r:id="rId260" o:title=""/>
            <o:lock v:ext="edit" aspectratio="t"/>
            <w10:wrap type="none"/>
            <w10:anchorlock/>
          </v:shape>
          <o:OLEObject Type="Embed" ProgID="Equation.3" ShapeID="_x0000_i1130" DrawAspect="Content" ObjectID="_1468075830" r:id="rId259">
            <o:LockedField>false</o:LockedField>
          </o:OLEObject>
        </w:object>
      </w:r>
      <w:r>
        <w:rPr>
          <w:rFonts w:ascii="Times New Roman" w:hAnsi="Times New Roman" w:cs="Times New Roman"/>
          <w:color w:val="auto"/>
          <w:highlight w:val="none"/>
        </w:rPr>
        <w:t>0.1V，电流应为（</w:t>
      </w:r>
      <w:r>
        <w:rPr>
          <w:rFonts w:ascii="Times New Roman" w:hAnsi="Times New Roman" w:cs="Times New Roman"/>
          <w:bCs/>
          <w:color w:val="auto"/>
          <w:highlight w:val="none"/>
        </w:rPr>
        <w:t>0～10）A。</w:t>
      </w:r>
    </w:p>
    <w:p w14:paraId="4EBFBD0D">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color w:val="auto"/>
          <w:highlight w:val="none"/>
        </w:rPr>
      </w:pPr>
      <w:r>
        <w:rPr>
          <w:rFonts w:ascii="Times New Roman" w:hAnsi="Times New Roman" w:cs="Times New Roman"/>
          <w:color w:val="auto"/>
          <w:highlight w:val="none"/>
        </w:rPr>
        <w:t>6）电</w:t>
      </w:r>
      <w:r>
        <w:rPr>
          <w:rFonts w:hint="default" w:ascii="Times New Roman" w:hAnsi="Times New Roman" w:cs="Times New Roman"/>
          <w:color w:val="auto"/>
          <w:highlight w:val="none"/>
        </w:rPr>
        <w:t>流</w:t>
      </w:r>
      <w:r>
        <w:rPr>
          <w:rFonts w:ascii="Times New Roman" w:hAnsi="Times New Roman" w:cs="Times New Roman"/>
          <w:color w:val="auto"/>
          <w:highlight w:val="none"/>
        </w:rPr>
        <w:t>表的精度应为0.1mA。</w:t>
      </w:r>
    </w:p>
    <w:p w14:paraId="4B8D509F">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color w:val="auto"/>
          <w:highlight w:val="none"/>
        </w:rPr>
      </w:pPr>
      <w:r>
        <w:rPr>
          <w:rFonts w:ascii="Times New Roman" w:hAnsi="Times New Roman" w:cs="Times New Roman"/>
          <w:bCs/>
          <w:color w:val="auto"/>
          <w:highlight w:val="none"/>
        </w:rPr>
        <w:t>7）温度计或热电偶的精度应为</w:t>
      </w:r>
      <w:r>
        <w:rPr>
          <w:rFonts w:ascii="Times New Roman" w:hAnsi="Times New Roman" w:cs="Times New Roman"/>
          <w:color w:val="auto"/>
          <w:highlight w:val="none"/>
        </w:rPr>
        <w:t>0.2℃。</w:t>
      </w:r>
    </w:p>
    <w:p w14:paraId="54E4AAE8">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color w:val="auto"/>
          <w:highlight w:val="none"/>
        </w:rPr>
      </w:pPr>
      <w:r>
        <w:rPr>
          <w:rFonts w:ascii="Times New Roman" w:hAnsi="Times New Roman" w:cs="Times New Roman"/>
          <w:color w:val="auto"/>
          <w:highlight w:val="none"/>
        </w:rPr>
        <w:t>8）喷雾器应适合喷洒硝酸银溶液。</w:t>
      </w:r>
    </w:p>
    <w:p w14:paraId="296E5852">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color w:val="auto"/>
          <w:highlight w:val="none"/>
        </w:rPr>
      </w:pPr>
      <w:r>
        <w:rPr>
          <w:rFonts w:ascii="Times New Roman" w:hAnsi="Times New Roman" w:cs="Times New Roman"/>
          <w:color w:val="auto"/>
          <w:highlight w:val="none"/>
        </w:rPr>
        <w:t>9）游标卡尺的精度应为0.1mm。</w:t>
      </w:r>
    </w:p>
    <w:p w14:paraId="53D8FE90">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color w:val="auto"/>
          <w:highlight w:val="none"/>
        </w:rPr>
      </w:pPr>
      <w:r>
        <w:rPr>
          <w:rFonts w:ascii="Times New Roman" w:hAnsi="Times New Roman" w:cs="Times New Roman"/>
          <w:color w:val="auto"/>
          <w:highlight w:val="none"/>
        </w:rPr>
        <w:t>10）尺子的最小刻度应为1mm。</w:t>
      </w:r>
    </w:p>
    <w:p w14:paraId="628DC754">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color w:val="auto"/>
          <w:highlight w:val="none"/>
        </w:rPr>
      </w:pPr>
      <w:r>
        <w:rPr>
          <w:rFonts w:ascii="Times New Roman" w:hAnsi="Times New Roman" w:cs="Times New Roman"/>
          <w:color w:val="auto"/>
          <w:highlight w:val="none"/>
        </w:rPr>
        <w:t>11）水砂纸的规格应为</w:t>
      </w:r>
      <w:r>
        <w:rPr>
          <w:rFonts w:hint="default" w:ascii="Times New Roman" w:hAnsi="Times New Roman" w:cs="Times New Roman"/>
          <w:color w:val="auto"/>
          <w:highlight w:val="none"/>
        </w:rPr>
        <w:t>（</w:t>
      </w:r>
      <w:r>
        <w:rPr>
          <w:rFonts w:ascii="Times New Roman" w:hAnsi="Times New Roman" w:cs="Times New Roman"/>
          <w:color w:val="auto"/>
          <w:highlight w:val="none"/>
        </w:rPr>
        <w:t>200</w:t>
      </w:r>
      <w:r>
        <w:rPr>
          <w:rFonts w:ascii="Times New Roman" w:hAnsi="Times New Roman" w:cs="Times New Roman"/>
          <w:bCs/>
          <w:color w:val="auto"/>
          <w:highlight w:val="none"/>
        </w:rPr>
        <w:t>～</w:t>
      </w:r>
      <w:r>
        <w:rPr>
          <w:rFonts w:ascii="Times New Roman" w:hAnsi="Times New Roman" w:cs="Times New Roman"/>
          <w:color w:val="auto"/>
          <w:highlight w:val="none"/>
        </w:rPr>
        <w:t>600</w:t>
      </w:r>
      <w:r>
        <w:rPr>
          <w:rFonts w:hint="default" w:ascii="Times New Roman" w:hAnsi="Times New Roman" w:cs="Times New Roman"/>
          <w:color w:val="auto"/>
          <w:highlight w:val="none"/>
        </w:rPr>
        <w:t>）</w:t>
      </w:r>
      <w:r>
        <w:rPr>
          <w:rFonts w:ascii="Times New Roman" w:hAnsi="Times New Roman" w:cs="Times New Roman"/>
          <w:color w:val="auto"/>
          <w:highlight w:val="none"/>
        </w:rPr>
        <w:t>#。</w:t>
      </w:r>
    </w:p>
    <w:p w14:paraId="0A427649">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color w:val="auto"/>
          <w:highlight w:val="none"/>
        </w:rPr>
      </w:pPr>
      <w:r>
        <w:rPr>
          <w:rFonts w:ascii="Times New Roman" w:hAnsi="Times New Roman" w:cs="Times New Roman"/>
          <w:color w:val="auto"/>
          <w:highlight w:val="none"/>
        </w:rPr>
        <w:t>12）细锉刀可为备用工具。</w:t>
      </w:r>
    </w:p>
    <w:p w14:paraId="35FB0799">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color w:val="auto"/>
          <w:highlight w:val="none"/>
        </w:rPr>
      </w:pPr>
      <w:r>
        <w:rPr>
          <w:rFonts w:ascii="Times New Roman" w:hAnsi="Times New Roman" w:cs="Times New Roman"/>
          <w:color w:val="auto"/>
          <w:highlight w:val="none"/>
        </w:rPr>
        <w:t>13）扭矩扳手的扭矩范围应为</w:t>
      </w:r>
      <w:r>
        <w:rPr>
          <w:rFonts w:hint="default" w:ascii="Times New Roman" w:hAnsi="Times New Roman" w:cs="Times New Roman"/>
          <w:color w:val="auto"/>
          <w:highlight w:val="none"/>
        </w:rPr>
        <w:t>（</w:t>
      </w:r>
      <w:r>
        <w:rPr>
          <w:rFonts w:ascii="Times New Roman" w:hAnsi="Times New Roman" w:cs="Times New Roman"/>
          <w:color w:val="auto"/>
          <w:highlight w:val="none"/>
        </w:rPr>
        <w:t>20</w:t>
      </w:r>
      <w:r>
        <w:rPr>
          <w:rFonts w:ascii="Times New Roman" w:hAnsi="Times New Roman" w:cs="Times New Roman"/>
          <w:bCs/>
          <w:color w:val="auto"/>
          <w:highlight w:val="none"/>
        </w:rPr>
        <w:t>～</w:t>
      </w:r>
      <w:r>
        <w:rPr>
          <w:rFonts w:ascii="Times New Roman" w:hAnsi="Times New Roman" w:cs="Times New Roman"/>
          <w:color w:val="auto"/>
          <w:highlight w:val="none"/>
        </w:rPr>
        <w:t>100</w:t>
      </w:r>
      <w:r>
        <w:rPr>
          <w:rFonts w:hint="default" w:ascii="Times New Roman" w:hAnsi="Times New Roman" w:cs="Times New Roman"/>
          <w:color w:val="auto"/>
          <w:highlight w:val="none"/>
        </w:rPr>
        <w:t>）</w:t>
      </w:r>
      <w:r>
        <w:rPr>
          <w:rFonts w:ascii="Times New Roman" w:hAnsi="Times New Roman" w:cs="Times New Roman"/>
          <w:color w:val="auto"/>
          <w:highlight w:val="none"/>
        </w:rPr>
        <w:t>N·m，测量误差不应超过±5％。</w:t>
      </w:r>
    </w:p>
    <w:p w14:paraId="4E3B5299">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color w:val="auto"/>
          <w:highlight w:val="none"/>
        </w:rPr>
      </w:pPr>
      <w:r>
        <w:rPr>
          <w:rFonts w:ascii="Times New Roman" w:hAnsi="Times New Roman" w:cs="Times New Roman"/>
          <w:color w:val="auto"/>
          <w:highlight w:val="none"/>
        </w:rPr>
        <w:t>14）电吹风的功率应为（1000</w:t>
      </w:r>
      <w:r>
        <w:rPr>
          <w:rFonts w:ascii="Times New Roman" w:hAnsi="Times New Roman" w:cs="Times New Roman"/>
          <w:bCs/>
          <w:color w:val="auto"/>
          <w:highlight w:val="none"/>
        </w:rPr>
        <w:t>～</w:t>
      </w:r>
      <w:r>
        <w:rPr>
          <w:rFonts w:ascii="Times New Roman" w:hAnsi="Times New Roman" w:cs="Times New Roman"/>
          <w:color w:val="auto"/>
          <w:highlight w:val="none"/>
        </w:rPr>
        <w:t>2000）W。</w:t>
      </w:r>
    </w:p>
    <w:p w14:paraId="39C239DF">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color w:val="auto"/>
          <w:highlight w:val="none"/>
        </w:rPr>
      </w:pPr>
      <w:r>
        <w:rPr>
          <w:rFonts w:ascii="Times New Roman" w:hAnsi="Times New Roman" w:cs="Times New Roman"/>
          <w:color w:val="auto"/>
          <w:highlight w:val="none"/>
        </w:rPr>
        <w:t>15）黄铜刷可为备用工具。</w:t>
      </w:r>
    </w:p>
    <w:p w14:paraId="57EC0F52">
      <w:pPr>
        <w:pageBreakBefore w:val="0"/>
        <w:widowControl w:val="0"/>
        <w:kinsoku/>
        <w:wordWrap/>
        <w:overflowPunct/>
        <w:topLinePunct/>
        <w:autoSpaceDE/>
        <w:autoSpaceDN/>
        <w:bidi w:val="0"/>
        <w:adjustRightInd w:val="0"/>
        <w:snapToGrid w:val="0"/>
        <w:spacing w:line="360" w:lineRule="auto"/>
        <w:ind w:left="630" w:leftChars="300"/>
        <w:textAlignment w:val="auto"/>
        <w:rPr>
          <w:rFonts w:ascii="Times New Roman" w:hAnsi="Times New Roman" w:cs="Times New Roman"/>
          <w:color w:val="auto"/>
          <w:highlight w:val="none"/>
        </w:rPr>
      </w:pPr>
      <w:r>
        <w:rPr>
          <w:rFonts w:ascii="Times New Roman" w:hAnsi="Times New Roman" w:cs="Times New Roman"/>
          <w:color w:val="auto"/>
          <w:highlight w:val="none"/>
        </w:rPr>
        <w:t>16）真空表或压力计的精度应为665Pa（5mmHg柱），量程应为（0</w:t>
      </w:r>
      <w:r>
        <w:rPr>
          <w:rFonts w:ascii="Times New Roman" w:hAnsi="Times New Roman" w:cs="Times New Roman"/>
          <w:bCs/>
          <w:color w:val="auto"/>
          <w:highlight w:val="none"/>
        </w:rPr>
        <w:t>～</w:t>
      </w:r>
      <w:r>
        <w:rPr>
          <w:rFonts w:ascii="Times New Roman" w:hAnsi="Times New Roman" w:cs="Times New Roman"/>
          <w:color w:val="auto"/>
          <w:highlight w:val="none"/>
        </w:rPr>
        <w:t>13300）Pa（0</w:t>
      </w:r>
      <w:r>
        <w:rPr>
          <w:rFonts w:ascii="Times New Roman" w:hAnsi="Times New Roman" w:cs="Times New Roman"/>
          <w:bCs/>
          <w:color w:val="auto"/>
          <w:highlight w:val="none"/>
        </w:rPr>
        <w:t>～</w:t>
      </w:r>
      <w:r>
        <w:rPr>
          <w:rFonts w:ascii="Times New Roman" w:hAnsi="Times New Roman" w:cs="Times New Roman"/>
          <w:color w:val="auto"/>
          <w:highlight w:val="none"/>
        </w:rPr>
        <w:t>100mmHg柱）。</w:t>
      </w:r>
    </w:p>
    <w:p w14:paraId="5925A0DE">
      <w:pPr>
        <w:pageBreakBefore w:val="0"/>
        <w:widowControl w:val="0"/>
        <w:kinsoku/>
        <w:wordWrap/>
        <w:overflowPunct/>
        <w:topLinePunct/>
        <w:autoSpaceDE/>
        <w:autoSpaceDN/>
        <w:bidi w:val="0"/>
        <w:adjustRightInd w:val="0"/>
        <w:snapToGrid w:val="0"/>
        <w:spacing w:line="360" w:lineRule="auto"/>
        <w:ind w:left="630" w:leftChars="300"/>
        <w:textAlignment w:val="auto"/>
        <w:rPr>
          <w:rFonts w:ascii="Times New Roman" w:hAnsi="Times New Roman" w:cs="Times New Roman"/>
          <w:color w:val="auto"/>
          <w:highlight w:val="none"/>
        </w:rPr>
      </w:pPr>
      <w:r>
        <w:rPr>
          <w:rFonts w:ascii="Times New Roman" w:hAnsi="Times New Roman" w:cs="Times New Roman"/>
          <w:color w:val="auto"/>
          <w:highlight w:val="none"/>
        </w:rPr>
        <w:t>17）抽真空设备可由体积在1000mL以上的烧杯、真空干燥器、真空泵、分液装置、真空表等组合而成。</w:t>
      </w:r>
    </w:p>
    <w:p w14:paraId="7603371A">
      <w:pPr>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bCs/>
          <w:color w:val="auto"/>
          <w:highlight w:val="none"/>
        </w:rPr>
      </w:pPr>
      <w:r>
        <w:rPr>
          <w:rFonts w:ascii="Times New Roman" w:hAnsi="Times New Roman" w:eastAsia="黑体" w:cs="Times New Roman"/>
          <w:b/>
          <w:bCs/>
          <w:color w:val="auto"/>
          <w:szCs w:val="21"/>
          <w:highlight w:val="none"/>
        </w:rPr>
        <w:t>3</w:t>
      </w:r>
      <w:r>
        <w:rPr>
          <w:rFonts w:ascii="Times New Roman" w:hAnsi="Times New Roman" w:cs="Times New Roman"/>
          <w:bCs/>
          <w:color w:val="auto"/>
          <w:highlight w:val="none"/>
        </w:rPr>
        <w:t xml:space="preserve">  溶液和指示剂应符合下列规定：</w:t>
      </w:r>
    </w:p>
    <w:p w14:paraId="5170042B">
      <w:pPr>
        <w:pageBreakBefore w:val="0"/>
        <w:widowControl w:val="0"/>
        <w:kinsoku/>
        <w:wordWrap/>
        <w:overflowPunct/>
        <w:topLinePunct/>
        <w:autoSpaceDE/>
        <w:autoSpaceDN/>
        <w:bidi w:val="0"/>
        <w:adjustRightInd w:val="0"/>
        <w:snapToGrid w:val="0"/>
        <w:spacing w:line="360" w:lineRule="auto"/>
        <w:ind w:left="630" w:leftChars="300"/>
        <w:textAlignment w:val="auto"/>
        <w:rPr>
          <w:rFonts w:ascii="Times New Roman" w:hAnsi="Times New Roman" w:cs="Times New Roman"/>
          <w:color w:val="auto"/>
          <w:highlight w:val="none"/>
        </w:rPr>
      </w:pPr>
      <w:r>
        <w:rPr>
          <w:rFonts w:ascii="Times New Roman" w:hAnsi="Times New Roman" w:cs="Times New Roman"/>
          <w:color w:val="auto"/>
          <w:highlight w:val="none"/>
        </w:rPr>
        <w:t>1）阴极溶液应为质量浓度10％的NaCl溶液，阳极溶液应为0.3 mol/L的 NaOH 溶液。溶液应提前24h配制，并应密封保存在温度为（20</w:t>
      </w:r>
      <w:r>
        <w:rPr>
          <w:rFonts w:ascii="Times New Roman" w:hAnsi="Times New Roman" w:cs="Times New Roman"/>
          <w:bCs/>
          <w:color w:val="auto"/>
          <w:highlight w:val="none"/>
        </w:rPr>
        <w:t>～</w:t>
      </w:r>
      <w:r>
        <w:rPr>
          <w:rFonts w:ascii="Times New Roman" w:hAnsi="Times New Roman" w:cs="Times New Roman"/>
          <w:color w:val="auto"/>
          <w:highlight w:val="none"/>
        </w:rPr>
        <w:t>25）℃的环境中。</w:t>
      </w:r>
    </w:p>
    <w:p w14:paraId="48B0C41C">
      <w:pPr>
        <w:pageBreakBefore w:val="0"/>
        <w:widowControl w:val="0"/>
        <w:kinsoku/>
        <w:wordWrap/>
        <w:overflowPunct/>
        <w:topLinePunct/>
        <w:autoSpaceDE/>
        <w:autoSpaceDN/>
        <w:bidi w:val="0"/>
        <w:adjustRightInd w:val="0"/>
        <w:snapToGrid w:val="0"/>
        <w:spacing w:line="360" w:lineRule="auto"/>
        <w:ind w:firstLine="630" w:firstLineChars="300"/>
        <w:textAlignment w:val="auto"/>
        <w:rPr>
          <w:rFonts w:ascii="Times New Roman" w:hAnsi="Times New Roman" w:cs="Times New Roman"/>
          <w:color w:val="auto"/>
          <w:highlight w:val="none"/>
        </w:rPr>
      </w:pPr>
      <w:r>
        <w:rPr>
          <w:rFonts w:ascii="Times New Roman" w:hAnsi="Times New Roman" w:cs="Times New Roman"/>
          <w:color w:val="auto"/>
          <w:highlight w:val="none"/>
        </w:rPr>
        <w:t>2）显色指示剂应为0.1 mol/L的 AgNO</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溶液。</w:t>
      </w:r>
    </w:p>
    <w:p w14:paraId="642DF721">
      <w:pPr>
        <w:kinsoku/>
        <w:overflowPunct/>
        <w:topLinePunct/>
        <w:bidi w:val="0"/>
        <w:adjustRightInd w:val="0"/>
        <w:snapToGrid w:val="0"/>
        <w:spacing w:line="360" w:lineRule="auto"/>
        <w:jc w:val="center"/>
        <w:rPr>
          <w:rFonts w:ascii="Times New Roman" w:hAnsi="Times New Roman" w:cs="Times New Roman"/>
          <w:color w:val="auto"/>
          <w:highlight w:val="none"/>
        </w:rPr>
      </w:pPr>
      <w:r>
        <w:rPr>
          <w:rFonts w:ascii="Times New Roman" w:hAnsi="Times New Roman" w:cs="Times New Roman"/>
          <w:color w:val="auto"/>
          <w:szCs w:val="32"/>
          <w:highlight w:val="none"/>
        </w:rPr>
        <w:drawing>
          <wp:inline distT="0" distB="0" distL="114300" distR="114300">
            <wp:extent cx="4300855" cy="3329305"/>
            <wp:effectExtent l="0" t="0" r="4445" b="4445"/>
            <wp:docPr id="22" name="图片 53" descr="R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3" descr="RCM"/>
                    <pic:cNvPicPr>
                      <a:picLocks noChangeAspect="1"/>
                    </pic:cNvPicPr>
                  </pic:nvPicPr>
                  <pic:blipFill>
                    <a:blip r:embed="rId261"/>
                    <a:stretch>
                      <a:fillRect/>
                    </a:stretch>
                  </pic:blipFill>
                  <pic:spPr>
                    <a:xfrm>
                      <a:off x="0" y="0"/>
                      <a:ext cx="4300855" cy="3329305"/>
                    </a:xfrm>
                    <a:prstGeom prst="rect">
                      <a:avLst/>
                    </a:prstGeom>
                    <a:noFill/>
                    <a:ln>
                      <a:noFill/>
                    </a:ln>
                  </pic:spPr>
                </pic:pic>
              </a:graphicData>
            </a:graphic>
          </wp:inline>
        </w:drawing>
      </w:r>
    </w:p>
    <w:p w14:paraId="1F3B447E">
      <w:pPr>
        <w:kinsoku/>
        <w:overflowPunct/>
        <w:topLinePunct/>
        <w:bidi w:val="0"/>
        <w:adjustRightInd w:val="0"/>
        <w:snapToGrid w:val="0"/>
        <w:spacing w:line="360" w:lineRule="auto"/>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图</w:t>
      </w:r>
      <w:r>
        <w:rPr>
          <w:rFonts w:hint="default" w:ascii="Times New Roman" w:hAnsi="Times New Roman" w:cs="Times New Roman"/>
          <w:color w:val="auto"/>
          <w:kern w:val="0"/>
          <w:sz w:val="18"/>
          <w:szCs w:val="18"/>
          <w:highlight w:val="none"/>
          <w:lang w:eastAsia="zh-CN"/>
        </w:rPr>
        <w:t>7.4</w:t>
      </w:r>
      <w:r>
        <w:rPr>
          <w:rFonts w:ascii="Times New Roman" w:hAnsi="Times New Roman" w:cs="Times New Roman"/>
          <w:color w:val="auto"/>
          <w:kern w:val="0"/>
          <w:sz w:val="18"/>
          <w:szCs w:val="18"/>
          <w:highlight w:val="none"/>
        </w:rPr>
        <w:t>.2  RCM试验装置示意图</w:t>
      </w:r>
    </w:p>
    <w:p w14:paraId="4E7A7487">
      <w:pPr>
        <w:kinsoku/>
        <w:overflowPunct/>
        <w:topLinePunct/>
        <w:bidi w:val="0"/>
        <w:adjustRightInd w:val="0"/>
        <w:snapToGrid w:val="0"/>
        <w:spacing w:line="360" w:lineRule="auto"/>
        <w:ind w:firstLine="300" w:firstLineChars="200"/>
        <w:jc w:val="center"/>
        <w:rPr>
          <w:rFonts w:ascii="Times New Roman" w:hAnsi="Times New Roman" w:cs="Times New Roman"/>
          <w:color w:val="auto"/>
          <w:kern w:val="0"/>
          <w:sz w:val="15"/>
          <w:szCs w:val="15"/>
          <w:highlight w:val="none"/>
        </w:rPr>
      </w:pPr>
      <w:r>
        <w:rPr>
          <w:rFonts w:ascii="Times New Roman" w:hAnsi="Times New Roman" w:cs="Times New Roman"/>
          <w:color w:val="auto"/>
          <w:kern w:val="0"/>
          <w:sz w:val="15"/>
          <w:szCs w:val="15"/>
          <w:highlight w:val="none"/>
        </w:rPr>
        <w:t>1－阳极板；2－阳极溶液；3－试件；4－阴极溶液；5－直流稳压电源；6－有机硅橡胶套；7－环箍；</w:t>
      </w:r>
    </w:p>
    <w:p w14:paraId="4C725488">
      <w:pPr>
        <w:kinsoku/>
        <w:overflowPunct/>
        <w:topLinePunct/>
        <w:bidi w:val="0"/>
        <w:adjustRightInd w:val="0"/>
        <w:snapToGrid w:val="0"/>
        <w:spacing w:line="360" w:lineRule="auto"/>
        <w:ind w:firstLine="300" w:firstLineChars="200"/>
        <w:jc w:val="center"/>
        <w:rPr>
          <w:rFonts w:ascii="Times New Roman" w:hAnsi="Times New Roman" w:cs="Times New Roman"/>
          <w:color w:val="auto"/>
          <w:kern w:val="0"/>
          <w:sz w:val="15"/>
          <w:szCs w:val="15"/>
          <w:highlight w:val="none"/>
        </w:rPr>
      </w:pPr>
      <w:r>
        <w:rPr>
          <w:rFonts w:ascii="Times New Roman" w:hAnsi="Times New Roman" w:cs="Times New Roman"/>
          <w:color w:val="auto"/>
          <w:kern w:val="0"/>
          <w:sz w:val="15"/>
          <w:szCs w:val="15"/>
          <w:highlight w:val="none"/>
        </w:rPr>
        <w:t>8－阴极板；9－支架；10－阴极试验槽；11—支撑头</w:t>
      </w:r>
    </w:p>
    <w:p w14:paraId="5111A3EB">
      <w:pPr>
        <w:kinsoku/>
        <w:overflowPunct/>
        <w:topLinePunct/>
        <w:bidi w:val="0"/>
        <w:adjustRightInd w:val="0"/>
        <w:snapToGrid w:val="0"/>
        <w:spacing w:line="360" w:lineRule="auto"/>
        <w:ind w:firstLine="300" w:firstLineChars="200"/>
        <w:jc w:val="center"/>
        <w:rPr>
          <w:rFonts w:ascii="Times New Roman" w:hAnsi="Times New Roman" w:cs="Times New Roman"/>
          <w:color w:val="auto"/>
          <w:kern w:val="0"/>
          <w:sz w:val="15"/>
          <w:szCs w:val="15"/>
          <w:highlight w:val="none"/>
        </w:rPr>
      </w:pPr>
    </w:p>
    <w:p w14:paraId="42E283A6">
      <w:pPr>
        <w:keepNext w:val="0"/>
        <w:keepLines w:val="0"/>
        <w:pageBreakBefore w:val="0"/>
        <w:widowControl w:val="0"/>
        <w:kinsoku/>
        <w:wordWrap/>
        <w:overflowPunct/>
        <w:topLinePunct/>
        <w:autoSpaceDE/>
        <w:autoSpaceDN/>
        <w:bidi w:val="0"/>
        <w:adjustRightInd w:val="0"/>
        <w:snapToGrid w:val="0"/>
        <w:spacing w:line="360" w:lineRule="auto"/>
        <w:textAlignment w:val="auto"/>
        <w:rPr>
          <w:rFonts w:ascii="Times New Roman" w:hAnsi="Times New Roman" w:eastAsia="黑体" w:cs="Times New Roman"/>
          <w:bCs/>
          <w:color w:val="auto"/>
          <w:szCs w:val="21"/>
          <w:highlight w:val="none"/>
        </w:rPr>
      </w:pPr>
      <w:r>
        <w:rPr>
          <w:rFonts w:hint="default" w:ascii="Times New Roman" w:hAnsi="Times New Roman" w:eastAsia="黑体" w:cs="Times New Roman"/>
          <w:b/>
          <w:bCs/>
          <w:color w:val="auto"/>
          <w:szCs w:val="21"/>
          <w:highlight w:val="none"/>
          <w:lang w:eastAsia="zh-CN"/>
        </w:rPr>
        <w:t>7.</w:t>
      </w:r>
      <w:r>
        <w:rPr>
          <w:rFonts w:hint="eastAsia" w:eastAsia="黑体" w:cs="Times New Roman"/>
          <w:b/>
          <w:bCs/>
          <w:color w:val="auto"/>
          <w:szCs w:val="21"/>
          <w:highlight w:val="none"/>
          <w:lang w:val="en-US" w:eastAsia="zh-CN"/>
        </w:rPr>
        <w:t>5</w:t>
      </w:r>
      <w:r>
        <w:rPr>
          <w:rFonts w:ascii="Times New Roman" w:hAnsi="Times New Roman" w:eastAsia="黑体" w:cs="Times New Roman"/>
          <w:b/>
          <w:bCs/>
          <w:color w:val="auto"/>
          <w:szCs w:val="21"/>
          <w:highlight w:val="none"/>
        </w:rPr>
        <w:t>.3</w:t>
      </w:r>
      <w:r>
        <w:rPr>
          <w:rFonts w:ascii="Times New Roman" w:hAnsi="Times New Roman" w:eastAsia="黑体" w:cs="Times New Roman"/>
          <w:bCs/>
          <w:color w:val="auto"/>
          <w:szCs w:val="21"/>
          <w:highlight w:val="none"/>
        </w:rPr>
        <w:t xml:space="preserve">  </w:t>
      </w:r>
      <w:r>
        <w:rPr>
          <w:rFonts w:ascii="Times New Roman" w:hAnsi="Times New Roman" w:cs="Times New Roman"/>
          <w:color w:val="auto"/>
          <w:highlight w:val="none"/>
        </w:rPr>
        <w:t>RCM</w:t>
      </w:r>
      <w:r>
        <w:rPr>
          <w:rFonts w:hint="default" w:ascii="Times New Roman" w:hAnsi="Times New Roman" w:cs="Times New Roman"/>
          <w:color w:val="auto"/>
          <w:highlight w:val="none"/>
          <w:lang w:val="en-US" w:eastAsia="zh-CN"/>
        </w:rPr>
        <w:t>法</w:t>
      </w:r>
      <w:r>
        <w:rPr>
          <w:rFonts w:ascii="Times New Roman" w:hAnsi="Times New Roman" w:cs="Times New Roman"/>
          <w:color w:val="auto"/>
          <w:highlight w:val="none"/>
        </w:rPr>
        <w:t>试验所处的试验室温度应控制在（20</w:t>
      </w:r>
      <w:r>
        <w:rPr>
          <w:rFonts w:ascii="Times New Roman" w:hAnsi="Times New Roman" w:cs="Times New Roman"/>
          <w:bCs/>
          <w:color w:val="auto"/>
          <w:highlight w:val="none"/>
        </w:rPr>
        <w:t>～</w:t>
      </w:r>
      <w:r>
        <w:rPr>
          <w:rFonts w:ascii="Times New Roman" w:hAnsi="Times New Roman" w:cs="Times New Roman"/>
          <w:color w:val="auto"/>
          <w:highlight w:val="none"/>
        </w:rPr>
        <w:t>25）℃。</w:t>
      </w:r>
    </w:p>
    <w:p w14:paraId="25867B3D">
      <w:pPr>
        <w:keepNext w:val="0"/>
        <w:keepLines w:val="0"/>
        <w:pageBreakBefore w:val="0"/>
        <w:widowControl w:val="0"/>
        <w:kinsoku/>
        <w:wordWrap/>
        <w:overflowPunct/>
        <w:topLinePunct/>
        <w:autoSpaceDE/>
        <w:autoSpaceDN/>
        <w:bidi w:val="0"/>
        <w:adjustRightInd w:val="0"/>
        <w:snapToGrid w:val="0"/>
        <w:spacing w:line="360" w:lineRule="auto"/>
        <w:textAlignment w:val="auto"/>
        <w:rPr>
          <w:rFonts w:ascii="Times New Roman" w:hAnsi="Times New Roman" w:cs="Times New Roman"/>
          <w:color w:val="auto"/>
          <w:highlight w:val="none"/>
        </w:rPr>
      </w:pPr>
      <w:r>
        <w:rPr>
          <w:rFonts w:hint="default" w:ascii="Times New Roman" w:hAnsi="Times New Roman" w:eastAsia="黑体" w:cs="Times New Roman"/>
          <w:b/>
          <w:bCs/>
          <w:color w:val="auto"/>
          <w:szCs w:val="21"/>
          <w:highlight w:val="none"/>
          <w:lang w:eastAsia="zh-CN"/>
        </w:rPr>
        <w:t>7.</w:t>
      </w:r>
      <w:r>
        <w:rPr>
          <w:rFonts w:hint="eastAsia" w:eastAsia="黑体" w:cs="Times New Roman"/>
          <w:b/>
          <w:bCs/>
          <w:color w:val="auto"/>
          <w:szCs w:val="21"/>
          <w:highlight w:val="none"/>
          <w:lang w:val="en-US" w:eastAsia="zh-CN"/>
        </w:rPr>
        <w:t>5</w:t>
      </w:r>
      <w:r>
        <w:rPr>
          <w:rFonts w:ascii="Times New Roman" w:hAnsi="Times New Roman" w:eastAsia="黑体" w:cs="Times New Roman"/>
          <w:b/>
          <w:bCs/>
          <w:color w:val="auto"/>
          <w:szCs w:val="21"/>
          <w:highlight w:val="none"/>
        </w:rPr>
        <w:t>.4</w:t>
      </w:r>
      <w:r>
        <w:rPr>
          <w:rFonts w:ascii="Times New Roman" w:hAnsi="Times New Roman" w:cs="Times New Roman"/>
          <w:color w:val="auto"/>
          <w:highlight w:val="none"/>
        </w:rPr>
        <w:t xml:space="preserve">  试件制作应符合下列规定：</w:t>
      </w:r>
    </w:p>
    <w:p w14:paraId="12BDB90E">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1</w:t>
      </w:r>
      <w:r>
        <w:rPr>
          <w:rFonts w:ascii="Times New Roman" w:hAnsi="Times New Roman" w:cs="Times New Roman"/>
          <w:color w:val="auto"/>
          <w:highlight w:val="none"/>
        </w:rPr>
        <w:t xml:space="preserve">  RCM试验用试件应采用直径为</w:t>
      </w:r>
      <w:r>
        <w:rPr>
          <w:rFonts w:hint="default" w:ascii="Times New Roman" w:hAnsi="Times New Roman" w:cs="Times New Roman"/>
          <w:color w:val="auto"/>
          <w:highlight w:val="none"/>
        </w:rPr>
        <w:t>（</w:t>
      </w:r>
      <w:r>
        <w:rPr>
          <w:rFonts w:ascii="Times New Roman" w:hAnsi="Times New Roman" w:cs="Times New Roman"/>
          <w:color w:val="auto"/>
          <w:highlight w:val="none"/>
        </w:rPr>
        <w:t>100±1</w:t>
      </w:r>
      <w:r>
        <w:rPr>
          <w:rFonts w:hint="default" w:ascii="Times New Roman" w:hAnsi="Times New Roman" w:cs="Times New Roman"/>
          <w:color w:val="auto"/>
          <w:highlight w:val="none"/>
        </w:rPr>
        <w:t>）</w:t>
      </w:r>
      <w:r>
        <w:rPr>
          <w:rFonts w:ascii="Times New Roman" w:hAnsi="Times New Roman" w:cs="Times New Roman"/>
          <w:color w:val="auto"/>
          <w:highlight w:val="none"/>
        </w:rPr>
        <w:t>mm</w:t>
      </w:r>
      <w:r>
        <w:rPr>
          <w:rFonts w:hint="default" w:ascii="Times New Roman" w:hAnsi="Times New Roman" w:cs="Times New Roman"/>
          <w:color w:val="auto"/>
          <w:highlight w:val="none"/>
          <w:lang w:eastAsia="zh-CN"/>
        </w:rPr>
        <w:t>、</w:t>
      </w:r>
      <w:r>
        <w:rPr>
          <w:rFonts w:ascii="Times New Roman" w:hAnsi="Times New Roman" w:cs="Times New Roman"/>
          <w:color w:val="auto"/>
          <w:highlight w:val="none"/>
        </w:rPr>
        <w:t>高度为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30</w:t>
      </w:r>
      <w:r>
        <w:rPr>
          <w:rFonts w:ascii="Times New Roman" w:hAnsi="Times New Roman" w:cs="Times New Roman"/>
          <w:color w:val="auto"/>
          <w:highlight w:val="none"/>
        </w:rPr>
        <w:t>±</w:t>
      </w:r>
      <w:r>
        <w:rPr>
          <w:rFonts w:hint="eastAsia" w:cs="Times New Roman"/>
          <w:color w:val="auto"/>
          <w:highlight w:val="none"/>
          <w:lang w:val="en-US" w:eastAsia="zh-CN"/>
        </w:rPr>
        <w:t>1</w:t>
      </w:r>
      <w:r>
        <w:rPr>
          <w:rFonts w:hint="default" w:ascii="Times New Roman" w:hAnsi="Times New Roman" w:cs="Times New Roman"/>
          <w:color w:val="auto"/>
          <w:highlight w:val="none"/>
        </w:rPr>
        <w:t>）</w:t>
      </w:r>
      <w:r>
        <w:rPr>
          <w:rFonts w:ascii="Times New Roman" w:hAnsi="Times New Roman" w:cs="Times New Roman"/>
          <w:color w:val="auto"/>
          <w:highlight w:val="none"/>
        </w:rPr>
        <w:t>mm的圆柱体试件。</w:t>
      </w:r>
    </w:p>
    <w:p w14:paraId="0839FF80">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2</w:t>
      </w:r>
      <w:r>
        <w:rPr>
          <w:rFonts w:ascii="Times New Roman" w:hAnsi="Times New Roman" w:cs="Times New Roman"/>
          <w:color w:val="auto"/>
          <w:highlight w:val="none"/>
        </w:rPr>
        <w:t xml:space="preserve">  在试验室制作试件时，宜使用</w:t>
      </w:r>
      <w:r>
        <w:rPr>
          <w:rFonts w:ascii="Times New Roman" w:hAnsi="Times New Roman" w:cs="Times New Roman"/>
          <w:i/>
          <w:iCs/>
          <w:color w:val="auto"/>
          <w:highlight w:val="none"/>
        </w:rPr>
        <w:t>Φ</w:t>
      </w:r>
      <w:r>
        <w:rPr>
          <w:rFonts w:ascii="Times New Roman" w:hAnsi="Times New Roman" w:cs="Times New Roman"/>
          <w:color w:val="auto"/>
          <w:highlight w:val="none"/>
        </w:rPr>
        <w:t>100mm×100mm或</w:t>
      </w:r>
      <w:r>
        <w:rPr>
          <w:rFonts w:ascii="Times New Roman" w:hAnsi="Times New Roman" w:cs="Times New Roman"/>
          <w:i/>
          <w:iCs/>
          <w:color w:val="auto"/>
          <w:highlight w:val="none"/>
        </w:rPr>
        <w:t>Φ</w:t>
      </w:r>
      <w:r>
        <w:rPr>
          <w:rFonts w:ascii="Times New Roman" w:hAnsi="Times New Roman" w:cs="Times New Roman"/>
          <w:color w:val="auto"/>
          <w:highlight w:val="none"/>
        </w:rPr>
        <w:t>100mm×200mm试模。试件成型后应立即用塑料薄膜覆盖并移至标准养护室。试件应在（24±2）h内拆模，然后浸没于标准养护室的水池中。</w:t>
      </w:r>
    </w:p>
    <w:p w14:paraId="779CEAFE">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3</w:t>
      </w:r>
      <w:r>
        <w:rPr>
          <w:rFonts w:ascii="Times New Roman" w:hAnsi="Times New Roman" w:cs="Times New Roman"/>
          <w:color w:val="auto"/>
          <w:highlight w:val="none"/>
        </w:rPr>
        <w:t xml:space="preserve">  试件的标准养护龄期应为28d。</w:t>
      </w:r>
      <w:r>
        <w:rPr>
          <w:rFonts w:hint="eastAsia" w:cs="Times New Roman"/>
          <w:color w:val="auto"/>
          <w:highlight w:val="none"/>
          <w:lang w:val="en-US" w:eastAsia="zh-CN"/>
          <w:woUserID w:val="4"/>
        </w:rPr>
        <w:t>热养护的超高性能混凝土应在标准蒸汽养护结束后放置于实验室环境中至7d龄期。</w:t>
      </w:r>
    </w:p>
    <w:p w14:paraId="1D293FEF">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4</w:t>
      </w:r>
      <w:r>
        <w:rPr>
          <w:rFonts w:ascii="Times New Roman" w:hAnsi="Times New Roman" w:cs="Times New Roman"/>
          <w:color w:val="auto"/>
          <w:highlight w:val="none"/>
        </w:rPr>
        <w:t xml:space="preserve">  应在抗氯离子渗透试验前7d加工标准尺寸的试件。当使用</w:t>
      </w:r>
      <w:r>
        <w:rPr>
          <w:rFonts w:ascii="Times New Roman" w:hAnsi="Times New Roman" w:cs="Times New Roman"/>
          <w:i/>
          <w:iCs/>
          <w:color w:val="auto"/>
          <w:highlight w:val="none"/>
        </w:rPr>
        <w:t>Φ</w:t>
      </w:r>
      <w:r>
        <w:rPr>
          <w:rFonts w:ascii="Times New Roman" w:hAnsi="Times New Roman" w:cs="Times New Roman"/>
          <w:color w:val="auto"/>
          <w:highlight w:val="none"/>
        </w:rPr>
        <w:t>100mm×100mm试件时，应从试件中部切取高度为（</w:t>
      </w:r>
      <w:r>
        <w:rPr>
          <w:rFonts w:hint="default" w:ascii="Times New Roman" w:hAnsi="Times New Roman" w:cs="Times New Roman"/>
          <w:color w:val="auto"/>
          <w:highlight w:val="none"/>
          <w:lang w:val="en-US" w:eastAsia="zh-CN"/>
        </w:rPr>
        <w:t>30</w:t>
      </w:r>
      <w:r>
        <w:rPr>
          <w:rFonts w:ascii="Times New Roman" w:hAnsi="Times New Roman" w:cs="Times New Roman"/>
          <w:color w:val="auto"/>
          <w:highlight w:val="none"/>
        </w:rPr>
        <w:t>±</w:t>
      </w:r>
      <w:r>
        <w:rPr>
          <w:rFonts w:hint="eastAsia" w:cs="Times New Roman"/>
          <w:color w:val="auto"/>
          <w:highlight w:val="none"/>
          <w:lang w:val="en-US" w:eastAsia="zh-CN"/>
        </w:rPr>
        <w:t>1</w:t>
      </w:r>
      <w:r>
        <w:rPr>
          <w:rFonts w:ascii="Times New Roman" w:hAnsi="Times New Roman" w:cs="Times New Roman"/>
          <w:color w:val="auto"/>
          <w:highlight w:val="none"/>
        </w:rPr>
        <w:t>）mm圆柱体作为试验用试件，并应将靠近浇筑面的试件端面作为暴露于氯离子溶液中的测试面。当使用</w:t>
      </w:r>
      <w:r>
        <w:rPr>
          <w:rFonts w:ascii="Times New Roman" w:hAnsi="Times New Roman" w:cs="Times New Roman"/>
          <w:i/>
          <w:iCs/>
          <w:color w:val="auto"/>
          <w:highlight w:val="none"/>
        </w:rPr>
        <w:t>Φ</w:t>
      </w:r>
      <w:r>
        <w:rPr>
          <w:rFonts w:ascii="Times New Roman" w:hAnsi="Times New Roman" w:cs="Times New Roman"/>
          <w:color w:val="auto"/>
          <w:highlight w:val="none"/>
        </w:rPr>
        <w:t>100mm×200mm试件时，应先将试件从正中间切成相同尺寸的两部分（</w:t>
      </w:r>
      <w:r>
        <w:rPr>
          <w:rFonts w:ascii="Times New Roman" w:hAnsi="Times New Roman" w:cs="Times New Roman"/>
          <w:i/>
          <w:iCs/>
          <w:color w:val="auto"/>
          <w:highlight w:val="none"/>
        </w:rPr>
        <w:t>Φ</w:t>
      </w:r>
      <w:r>
        <w:rPr>
          <w:rFonts w:ascii="Times New Roman" w:hAnsi="Times New Roman" w:cs="Times New Roman"/>
          <w:color w:val="auto"/>
          <w:highlight w:val="none"/>
        </w:rPr>
        <w:t>100mm×100mm），然后从两部分中各切取一个高度为（</w:t>
      </w:r>
      <w:r>
        <w:rPr>
          <w:rFonts w:hint="default" w:ascii="Times New Roman" w:hAnsi="Times New Roman" w:cs="Times New Roman"/>
          <w:color w:val="auto"/>
          <w:highlight w:val="none"/>
          <w:lang w:val="en-US" w:eastAsia="zh-CN"/>
        </w:rPr>
        <w:t>30</w:t>
      </w:r>
      <w:r>
        <w:rPr>
          <w:rFonts w:ascii="Times New Roman" w:hAnsi="Times New Roman" w:cs="Times New Roman"/>
          <w:color w:val="auto"/>
          <w:highlight w:val="none"/>
        </w:rPr>
        <w:t>±</w:t>
      </w:r>
      <w:r>
        <w:rPr>
          <w:rFonts w:hint="eastAsia" w:cs="Times New Roman"/>
          <w:color w:val="auto"/>
          <w:highlight w:val="none"/>
          <w:lang w:val="en-US" w:eastAsia="zh-CN"/>
        </w:rPr>
        <w:t>1</w:t>
      </w:r>
      <w:r>
        <w:rPr>
          <w:rFonts w:ascii="Times New Roman" w:hAnsi="Times New Roman" w:cs="Times New Roman"/>
          <w:color w:val="auto"/>
          <w:highlight w:val="none"/>
        </w:rPr>
        <w:t>）mm的试件，并应将第一次的切口面作为暴露于氯离子溶液中的测试面。</w:t>
      </w:r>
    </w:p>
    <w:p w14:paraId="66604069">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5</w:t>
      </w:r>
      <w:r>
        <w:rPr>
          <w:rFonts w:ascii="Times New Roman" w:hAnsi="Times New Roman" w:cs="Times New Roman"/>
          <w:color w:val="auto"/>
          <w:highlight w:val="none"/>
        </w:rPr>
        <w:t xml:space="preserve">  试件加工后应采用水砂纸和细锉刀打磨光滑。</w:t>
      </w:r>
    </w:p>
    <w:p w14:paraId="192ED2A3">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6</w:t>
      </w:r>
      <w:r>
        <w:rPr>
          <w:rFonts w:ascii="Times New Roman" w:hAnsi="Times New Roman" w:cs="Times New Roman"/>
          <w:color w:val="auto"/>
          <w:highlight w:val="none"/>
        </w:rPr>
        <w:t xml:space="preserve">  加工好的试件应继续浸没于水中养护至试验龄期。</w:t>
      </w:r>
    </w:p>
    <w:p w14:paraId="1F46FE0B">
      <w:pPr>
        <w:keepNext w:val="0"/>
        <w:keepLines w:val="0"/>
        <w:pageBreakBefore w:val="0"/>
        <w:widowControl w:val="0"/>
        <w:kinsoku/>
        <w:wordWrap/>
        <w:overflowPunct/>
        <w:topLinePunct/>
        <w:autoSpaceDE/>
        <w:autoSpaceDN/>
        <w:bidi w:val="0"/>
        <w:adjustRightInd w:val="0"/>
        <w:snapToGrid w:val="0"/>
        <w:spacing w:line="360" w:lineRule="auto"/>
        <w:textAlignment w:val="auto"/>
        <w:rPr>
          <w:rFonts w:hint="default" w:ascii="Times New Roman" w:hAnsi="Times New Roman" w:eastAsia="宋体" w:cs="Times New Roman"/>
          <w:b/>
          <w:bCs/>
          <w:color w:val="auto"/>
          <w:highlight w:val="none"/>
        </w:rPr>
      </w:pPr>
      <w:r>
        <w:rPr>
          <w:rFonts w:hint="default" w:ascii="Times New Roman" w:hAnsi="Times New Roman" w:eastAsia="黑体" w:cs="Times New Roman"/>
          <w:b/>
          <w:bCs/>
          <w:color w:val="auto"/>
          <w:szCs w:val="21"/>
          <w:highlight w:val="none"/>
          <w:lang w:eastAsia="zh-CN"/>
        </w:rPr>
        <w:t>7.</w:t>
      </w:r>
      <w:r>
        <w:rPr>
          <w:rFonts w:hint="eastAsia" w:eastAsia="黑体" w:cs="Times New Roman"/>
          <w:b/>
          <w:bCs/>
          <w:color w:val="auto"/>
          <w:szCs w:val="21"/>
          <w:highlight w:val="none"/>
          <w:lang w:val="en-US" w:eastAsia="zh-CN"/>
        </w:rPr>
        <w:t>5</w:t>
      </w:r>
      <w:r>
        <w:rPr>
          <w:rFonts w:ascii="Times New Roman" w:hAnsi="Times New Roman" w:eastAsia="黑体" w:cs="Times New Roman"/>
          <w:b/>
          <w:bCs/>
          <w:color w:val="auto"/>
          <w:szCs w:val="21"/>
          <w:highlight w:val="none"/>
        </w:rPr>
        <w:t>.5</w:t>
      </w:r>
      <w:r>
        <w:rPr>
          <w:rFonts w:ascii="Times New Roman" w:hAnsi="Times New Roman" w:eastAsia="黑体" w:cs="Times New Roman"/>
          <w:b/>
          <w:bCs/>
          <w:color w:val="auto"/>
          <w:highlight w:val="none"/>
        </w:rPr>
        <w:t xml:space="preserve">  </w:t>
      </w:r>
      <w:r>
        <w:rPr>
          <w:rFonts w:hint="default" w:ascii="Times New Roman" w:hAnsi="Times New Roman" w:eastAsia="黑体" w:cs="Times New Roman"/>
          <w:b/>
          <w:bCs/>
          <w:color w:val="auto"/>
          <w:highlight w:val="none"/>
          <w:lang w:val="en-US" w:eastAsia="zh-CN"/>
        </w:rPr>
        <w:t xml:space="preserve"> </w:t>
      </w:r>
      <w:r>
        <w:rPr>
          <w:rFonts w:hint="default" w:ascii="Times New Roman" w:hAnsi="Times New Roman" w:eastAsia="宋体" w:cs="Times New Roman"/>
          <w:bCs/>
          <w:color w:val="auto"/>
          <w:highlight w:val="none"/>
          <w:lang w:val="en-US" w:eastAsia="zh-CN"/>
        </w:rPr>
        <w:t>试件准备和安装</w:t>
      </w:r>
      <w:r>
        <w:rPr>
          <w:rFonts w:ascii="Times New Roman" w:hAnsi="Times New Roman" w:cs="Times New Roman"/>
          <w:bCs/>
          <w:color w:val="auto"/>
          <w:highlight w:val="none"/>
        </w:rPr>
        <w:t>应按下列步骤进行：</w:t>
      </w:r>
    </w:p>
    <w:p w14:paraId="75FD0CA2">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1</w:t>
      </w:r>
      <w:r>
        <w:rPr>
          <w:rFonts w:ascii="Times New Roman" w:hAnsi="Times New Roman" w:cs="Times New Roman"/>
          <w:color w:val="auto"/>
          <w:highlight w:val="none"/>
        </w:rPr>
        <w:t xml:space="preserve">  首先应将试件从养护池中取出来，并将试件表面的碎屑刷洗干净，擦干试件表面多余的水分</w:t>
      </w:r>
      <w:r>
        <w:rPr>
          <w:rFonts w:hint="default" w:ascii="Times New Roman" w:hAnsi="Times New Roman" w:cs="Times New Roman"/>
          <w:color w:val="auto"/>
          <w:highlight w:val="none"/>
          <w:lang w:eastAsia="zh-CN"/>
        </w:rPr>
        <w:t>，</w:t>
      </w:r>
      <w:r>
        <w:rPr>
          <w:rFonts w:ascii="Times New Roman" w:hAnsi="Times New Roman" w:cs="Times New Roman"/>
          <w:color w:val="auto"/>
          <w:highlight w:val="none"/>
        </w:rPr>
        <w:t>然后采用游标卡尺测量试件的直径和高度，测量应精确</w:t>
      </w:r>
      <w:r>
        <w:rPr>
          <w:rFonts w:hint="default" w:ascii="Times New Roman" w:hAnsi="Times New Roman" w:cs="Times New Roman"/>
          <w:color w:val="auto"/>
          <w:highlight w:val="none"/>
          <w:lang w:val="en-US" w:eastAsia="zh-CN"/>
        </w:rPr>
        <w:t>至</w:t>
      </w:r>
      <w:r>
        <w:rPr>
          <w:rFonts w:ascii="Times New Roman" w:hAnsi="Times New Roman" w:cs="Times New Roman"/>
          <w:color w:val="auto"/>
          <w:highlight w:val="none"/>
        </w:rPr>
        <w:t>0.1mm。</w:t>
      </w:r>
    </w:p>
    <w:p w14:paraId="602D049B">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2</w:t>
      </w:r>
      <w:r>
        <w:rPr>
          <w:rFonts w:ascii="Times New Roman" w:hAnsi="Times New Roman" w:eastAsia="黑体" w:cs="Times New Roman"/>
          <w:bCs/>
          <w:color w:val="auto"/>
          <w:szCs w:val="21"/>
          <w:highlight w:val="none"/>
        </w:rPr>
        <w:t xml:space="preserve">  </w:t>
      </w:r>
      <w:r>
        <w:rPr>
          <w:rFonts w:ascii="Times New Roman" w:hAnsi="Times New Roman" w:cs="Times New Roman"/>
          <w:color w:val="auto"/>
          <w:highlight w:val="none"/>
        </w:rPr>
        <w:t>试件安装在RCM试验装置前应采用电吹风冷风档吹干，表面应干净、无油污、灰砂和水珠。</w:t>
      </w:r>
    </w:p>
    <w:p w14:paraId="61BD9685">
      <w:pPr>
        <w:pStyle w:val="18"/>
        <w:keepNext w:val="0"/>
        <w:keepLines w:val="0"/>
        <w:pageBreakBefore w:val="0"/>
        <w:widowControl w:val="0"/>
        <w:kinsoku/>
        <w:wordWrap/>
        <w:overflowPunct/>
        <w:topLinePunct/>
        <w:autoSpaceDE/>
        <w:autoSpaceDN/>
        <w:bidi w:val="0"/>
        <w:adjustRightInd w:val="0"/>
        <w:snapToGrid w:val="0"/>
        <w:spacing w:before="0" w:beforeLines="0" w:after="0" w:afterLines="0" w:line="360" w:lineRule="auto"/>
        <w:ind w:firstLine="422"/>
        <w:textAlignment w:val="auto"/>
        <w:rPr>
          <w:rFonts w:ascii="Times New Roman" w:hAnsi="Times New Roman" w:cs="Times New Roman"/>
          <w:color w:val="auto"/>
          <w:highlight w:val="none"/>
        </w:rPr>
      </w:pPr>
      <w:r>
        <w:rPr>
          <w:rFonts w:ascii="Times New Roman" w:hAnsi="Times New Roman" w:eastAsia="黑体" w:cs="Times New Roman"/>
          <w:b/>
          <w:bCs/>
          <w:color w:val="auto"/>
          <w:highlight w:val="none"/>
        </w:rPr>
        <w:t>3</w:t>
      </w:r>
      <w:r>
        <w:rPr>
          <w:rFonts w:ascii="Times New Roman" w:hAnsi="Times New Roman" w:cs="Times New Roman"/>
          <w:color w:val="auto"/>
          <w:highlight w:val="none"/>
        </w:rPr>
        <w:t xml:space="preserve">  RCM试验装置的试验槽应在试验前用室温凉开水冲洗干净。</w:t>
      </w:r>
    </w:p>
    <w:p w14:paraId="30678E57">
      <w:pPr>
        <w:pStyle w:val="18"/>
        <w:keepNext w:val="0"/>
        <w:keepLines w:val="0"/>
        <w:pageBreakBefore w:val="0"/>
        <w:widowControl w:val="0"/>
        <w:kinsoku/>
        <w:wordWrap/>
        <w:overflowPunct/>
        <w:topLinePunct/>
        <w:autoSpaceDE/>
        <w:autoSpaceDN/>
        <w:bidi w:val="0"/>
        <w:adjustRightInd w:val="0"/>
        <w:snapToGrid w:val="0"/>
        <w:spacing w:before="0" w:beforeLines="0" w:after="0" w:afterLines="0" w:line="360" w:lineRule="auto"/>
        <w:ind w:firstLine="422"/>
        <w:textAlignment w:val="auto"/>
        <w:rPr>
          <w:rFonts w:ascii="Times New Roman" w:hAnsi="Times New Roman" w:cs="Times New Roman"/>
          <w:color w:val="auto"/>
          <w:highlight w:val="none"/>
        </w:rPr>
      </w:pPr>
      <w:r>
        <w:rPr>
          <w:rFonts w:ascii="Times New Roman" w:hAnsi="Times New Roman" w:eastAsia="黑体" w:cs="Times New Roman"/>
          <w:b/>
          <w:bCs/>
          <w:color w:val="auto"/>
          <w:highlight w:val="none"/>
        </w:rPr>
        <w:t>4</w:t>
      </w:r>
      <w:r>
        <w:rPr>
          <w:rFonts w:ascii="Times New Roman" w:hAnsi="Times New Roman" w:cs="Times New Roman"/>
          <w:color w:val="auto"/>
          <w:highlight w:val="none"/>
        </w:rPr>
        <w:t xml:space="preserve">  试件和RCM试验装置准备好后，应将试件装入橡胶套内的底部（图</w:t>
      </w:r>
      <w:r>
        <w:rPr>
          <w:rFonts w:hint="default" w:ascii="Times New Roman" w:hAnsi="Times New Roman" w:cs="Times New Roman"/>
          <w:color w:val="auto"/>
          <w:highlight w:val="none"/>
          <w:lang w:eastAsia="zh-CN"/>
        </w:rPr>
        <w:t>7.4</w:t>
      </w:r>
      <w:r>
        <w:rPr>
          <w:rFonts w:ascii="Times New Roman" w:hAnsi="Times New Roman" w:cs="Times New Roman"/>
          <w:color w:val="auto"/>
          <w:highlight w:val="none"/>
        </w:rPr>
        <w:t>.2），</w:t>
      </w:r>
      <w:r>
        <w:rPr>
          <w:rFonts w:hint="default" w:ascii="Times New Roman" w:hAnsi="Times New Roman" w:cs="Times New Roman"/>
          <w:color w:val="auto"/>
          <w:highlight w:val="none"/>
          <w:lang w:val="en-US" w:eastAsia="zh-CN"/>
        </w:rPr>
        <w:t>并</w:t>
      </w:r>
      <w:r>
        <w:rPr>
          <w:rFonts w:ascii="Times New Roman" w:hAnsi="Times New Roman" w:cs="Times New Roman"/>
          <w:color w:val="auto"/>
          <w:highlight w:val="none"/>
        </w:rPr>
        <w:t>在与试件齐高的橡胶套外侧安装两个不锈钢环箍（图</w:t>
      </w:r>
      <w:r>
        <w:rPr>
          <w:rFonts w:hint="default" w:ascii="Times New Roman" w:hAnsi="Times New Roman" w:cs="Times New Roman"/>
          <w:color w:val="auto"/>
          <w:highlight w:val="none"/>
          <w:lang w:eastAsia="zh-CN"/>
        </w:rPr>
        <w:t>7.4</w:t>
      </w:r>
      <w:r>
        <w:rPr>
          <w:rFonts w:ascii="Times New Roman" w:hAnsi="Times New Roman" w:cs="Times New Roman"/>
          <w:color w:val="auto"/>
          <w:highlight w:val="none"/>
        </w:rPr>
        <w:t>.5），每个箍高度应为20mm，并应拧紧环箍上的螺</w:t>
      </w:r>
      <w:r>
        <w:rPr>
          <w:rFonts w:hint="default" w:ascii="Times New Roman" w:hAnsi="Times New Roman" w:cs="Times New Roman"/>
          <w:color w:val="auto"/>
          <w:highlight w:val="none"/>
          <w:lang w:val="en-US" w:eastAsia="zh-CN"/>
        </w:rPr>
        <w:t>栓</w:t>
      </w:r>
      <w:r>
        <w:rPr>
          <w:rFonts w:ascii="Times New Roman" w:hAnsi="Times New Roman" w:cs="Times New Roman"/>
          <w:color w:val="auto"/>
          <w:highlight w:val="none"/>
        </w:rPr>
        <w:t>至扭矩为（30±2）N·m，使试件的圆柱侧面处于密封状态。当试件的圆柱曲面</w:t>
      </w:r>
      <w:r>
        <w:rPr>
          <w:rFonts w:hint="default" w:ascii="Times New Roman" w:hAnsi="Times New Roman" w:cs="Times New Roman"/>
          <w:color w:val="auto"/>
          <w:highlight w:val="none"/>
          <w:lang w:val="en-US" w:eastAsia="zh-CN"/>
        </w:rPr>
        <w:t>存在</w:t>
      </w:r>
      <w:r>
        <w:rPr>
          <w:rFonts w:ascii="Times New Roman" w:hAnsi="Times New Roman" w:cs="Times New Roman"/>
          <w:color w:val="auto"/>
          <w:highlight w:val="none"/>
        </w:rPr>
        <w:t>液体渗漏的缺陷时，应以密封剂保持其密封性。</w:t>
      </w:r>
    </w:p>
    <w:p w14:paraId="330EC217">
      <w:pPr>
        <w:pStyle w:val="18"/>
        <w:kinsoku/>
        <w:overflowPunct/>
        <w:topLinePunct/>
        <w:bidi w:val="0"/>
        <w:spacing w:before="0" w:beforeLines="0" w:after="0" w:afterLines="0" w:line="36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3046095" cy="2677160"/>
            <wp:effectExtent l="0" t="0" r="0" b="0"/>
            <wp:docPr id="31" name="图片 5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4" descr="7"/>
                    <pic:cNvPicPr>
                      <a:picLocks noChangeAspect="1"/>
                    </pic:cNvPicPr>
                  </pic:nvPicPr>
                  <pic:blipFill>
                    <a:blip r:embed="rId262"/>
                    <a:stretch>
                      <a:fillRect/>
                    </a:stretch>
                  </pic:blipFill>
                  <pic:spPr>
                    <a:xfrm>
                      <a:off x="0" y="0"/>
                      <a:ext cx="3046095" cy="2677160"/>
                    </a:xfrm>
                    <a:prstGeom prst="rect">
                      <a:avLst/>
                    </a:prstGeom>
                    <a:noFill/>
                    <a:ln>
                      <a:noFill/>
                    </a:ln>
                  </pic:spPr>
                </pic:pic>
              </a:graphicData>
            </a:graphic>
          </wp:inline>
        </w:drawing>
      </w:r>
    </w:p>
    <w:p w14:paraId="2379118C">
      <w:pPr>
        <w:kinsoku/>
        <w:overflowPunct/>
        <w:topLinePunct/>
        <w:bidi w:val="0"/>
        <w:adjustRightInd w:val="0"/>
        <w:snapToGrid w:val="0"/>
        <w:spacing w:line="360" w:lineRule="auto"/>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图</w:t>
      </w:r>
      <w:r>
        <w:rPr>
          <w:rFonts w:hint="default" w:ascii="Times New Roman" w:hAnsi="Times New Roman" w:cs="Times New Roman"/>
          <w:color w:val="auto"/>
          <w:kern w:val="0"/>
          <w:sz w:val="18"/>
          <w:szCs w:val="18"/>
          <w:highlight w:val="none"/>
          <w:lang w:eastAsia="zh-CN"/>
        </w:rPr>
        <w:t>7.4</w:t>
      </w:r>
      <w:r>
        <w:rPr>
          <w:rFonts w:ascii="Times New Roman" w:hAnsi="Times New Roman" w:cs="Times New Roman"/>
          <w:color w:val="auto"/>
          <w:kern w:val="0"/>
          <w:sz w:val="18"/>
          <w:szCs w:val="18"/>
          <w:highlight w:val="none"/>
        </w:rPr>
        <w:t>.5  不锈钢环箍</w:t>
      </w:r>
    </w:p>
    <w:p w14:paraId="4D82C0BC">
      <w:pPr>
        <w:kinsoku/>
        <w:overflowPunct/>
        <w:topLinePunct/>
        <w:bidi w:val="0"/>
        <w:adjustRightInd w:val="0"/>
        <w:snapToGrid w:val="0"/>
        <w:spacing w:line="360" w:lineRule="auto"/>
        <w:jc w:val="center"/>
        <w:rPr>
          <w:rFonts w:ascii="Times New Roman" w:hAnsi="Times New Roman" w:cs="Times New Roman"/>
          <w:color w:val="auto"/>
          <w:kern w:val="0"/>
          <w:sz w:val="15"/>
          <w:szCs w:val="15"/>
          <w:highlight w:val="none"/>
        </w:rPr>
      </w:pPr>
    </w:p>
    <w:p w14:paraId="3534C00E">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5</w:t>
      </w:r>
      <w:r>
        <w:rPr>
          <w:rFonts w:ascii="Times New Roman" w:hAnsi="Times New Roman" w:eastAsia="黑体" w:cs="Times New Roman"/>
          <w:color w:val="auto"/>
          <w:highlight w:val="none"/>
        </w:rPr>
        <w:t xml:space="preserve">  </w:t>
      </w:r>
      <w:r>
        <w:rPr>
          <w:rFonts w:ascii="Times New Roman" w:hAnsi="Times New Roman" w:cs="Times New Roman"/>
          <w:color w:val="auto"/>
          <w:highlight w:val="none"/>
        </w:rPr>
        <w:t>应将装有试件的橡胶套安装到试验槽中，并安装好阳极板</w:t>
      </w:r>
      <w:r>
        <w:rPr>
          <w:rFonts w:hint="default" w:ascii="Times New Roman" w:hAnsi="Times New Roman" w:cs="Times New Roman"/>
          <w:color w:val="auto"/>
          <w:highlight w:val="none"/>
          <w:lang w:eastAsia="zh-CN"/>
        </w:rPr>
        <w:t>，</w:t>
      </w:r>
      <w:r>
        <w:rPr>
          <w:rFonts w:ascii="Times New Roman" w:hAnsi="Times New Roman" w:cs="Times New Roman"/>
          <w:color w:val="auto"/>
          <w:highlight w:val="none"/>
        </w:rPr>
        <w:t>然后在橡胶套中注入约300mL浓度为0.3 mol/L的NaOH溶液，并使阳极板和试件表面均浸没于溶液中。在阴极试验槽中注入</w:t>
      </w:r>
      <w:r>
        <w:rPr>
          <w:rFonts w:hint="default" w:ascii="Times New Roman" w:hAnsi="Times New Roman" w:cs="Times New Roman"/>
          <w:color w:val="auto"/>
          <w:highlight w:val="none"/>
        </w:rPr>
        <w:t>适量的</w:t>
      </w:r>
      <w:r>
        <w:rPr>
          <w:rFonts w:ascii="Times New Roman" w:hAnsi="Times New Roman" w:cs="Times New Roman"/>
          <w:color w:val="auto"/>
          <w:highlight w:val="none"/>
        </w:rPr>
        <w:t>质量浓度为10％的NaCl溶液，并使其液面与橡胶套中的NaOH溶液的液面齐平。</w:t>
      </w:r>
    </w:p>
    <w:p w14:paraId="68FA8777">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6</w:t>
      </w:r>
      <w:r>
        <w:rPr>
          <w:rFonts w:ascii="Times New Roman" w:hAnsi="Times New Roman" w:eastAsia="黑体" w:cs="Times New Roman"/>
          <w:color w:val="auto"/>
          <w:highlight w:val="none"/>
        </w:rPr>
        <w:t xml:space="preserve">  </w:t>
      </w:r>
      <w:r>
        <w:rPr>
          <w:rFonts w:ascii="Times New Roman" w:hAnsi="Times New Roman" w:cs="Times New Roman"/>
          <w:color w:val="auto"/>
          <w:highlight w:val="none"/>
        </w:rPr>
        <w:t>试件安装完成后，应将电源的阳极（又称正极）用导线连至橡胶筒中阳极板，并将阴极（又称负极）用导线连至试验槽中的阴极板。</w:t>
      </w:r>
    </w:p>
    <w:p w14:paraId="1C91B118">
      <w:pPr>
        <w:keepNext w:val="0"/>
        <w:keepLines w:val="0"/>
        <w:pageBreakBefore w:val="0"/>
        <w:widowControl w:val="0"/>
        <w:kinsoku/>
        <w:wordWrap/>
        <w:overflowPunct/>
        <w:topLinePunct/>
        <w:autoSpaceDE/>
        <w:autoSpaceDN/>
        <w:bidi w:val="0"/>
        <w:adjustRightInd w:val="0"/>
        <w:snapToGrid w:val="0"/>
        <w:spacing w:line="360" w:lineRule="auto"/>
        <w:textAlignment w:val="auto"/>
        <w:rPr>
          <w:rFonts w:ascii="Times New Roman" w:hAnsi="Times New Roman" w:cs="Times New Roman"/>
          <w:color w:val="auto"/>
          <w:highlight w:val="none"/>
        </w:rPr>
      </w:pPr>
      <w:r>
        <w:rPr>
          <w:rFonts w:hint="default" w:ascii="Times New Roman" w:hAnsi="Times New Roman" w:eastAsia="黑体" w:cs="Times New Roman"/>
          <w:b/>
          <w:bCs/>
          <w:color w:val="auto"/>
          <w:szCs w:val="21"/>
          <w:highlight w:val="none"/>
          <w:lang w:eastAsia="zh-CN"/>
        </w:rPr>
        <w:t>7.</w:t>
      </w:r>
      <w:r>
        <w:rPr>
          <w:rFonts w:hint="eastAsia" w:eastAsia="黑体" w:cs="Times New Roman"/>
          <w:b/>
          <w:bCs/>
          <w:color w:val="auto"/>
          <w:szCs w:val="21"/>
          <w:highlight w:val="none"/>
          <w:lang w:val="en-US" w:eastAsia="zh-CN"/>
        </w:rPr>
        <w:t>5</w:t>
      </w:r>
      <w:r>
        <w:rPr>
          <w:rFonts w:ascii="Times New Roman" w:hAnsi="Times New Roman" w:eastAsia="黑体" w:cs="Times New Roman"/>
          <w:b/>
          <w:bCs/>
          <w:color w:val="auto"/>
          <w:szCs w:val="21"/>
          <w:highlight w:val="none"/>
        </w:rPr>
        <w:t>.6</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电迁移</w:t>
      </w:r>
      <w:r>
        <w:rPr>
          <w:rFonts w:ascii="Times New Roman" w:hAnsi="Times New Roman" w:cs="Times New Roman"/>
          <w:color w:val="auto"/>
          <w:highlight w:val="none"/>
        </w:rPr>
        <w:t>应按下列步骤进行：</w:t>
      </w:r>
    </w:p>
    <w:p w14:paraId="4939E245">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1</w:t>
      </w:r>
      <w:r>
        <w:rPr>
          <w:rFonts w:ascii="Times New Roman" w:hAnsi="Times New Roman" w:eastAsia="黑体" w:cs="Times New Roman"/>
          <w:color w:val="auto"/>
          <w:highlight w:val="none"/>
        </w:rPr>
        <w:t xml:space="preserve">  </w:t>
      </w:r>
      <w:r>
        <w:rPr>
          <w:rFonts w:ascii="Times New Roman" w:hAnsi="Times New Roman" w:cs="Times New Roman"/>
          <w:color w:val="auto"/>
          <w:highlight w:val="none"/>
        </w:rPr>
        <w:t>首先应打开电源，将电压调整到（30±0.2）V，记录通过每个试件的初始电流。</w:t>
      </w:r>
    </w:p>
    <w:p w14:paraId="1C50D6BE">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2</w:t>
      </w:r>
      <w:r>
        <w:rPr>
          <w:rFonts w:ascii="Times New Roman" w:hAnsi="Times New Roman" w:cs="Times New Roman"/>
          <w:color w:val="auto"/>
          <w:highlight w:val="none"/>
        </w:rPr>
        <w:t xml:space="preserve">  后续试验施加的电压（表</w:t>
      </w:r>
      <w:r>
        <w:rPr>
          <w:rFonts w:hint="default" w:ascii="Times New Roman" w:hAnsi="Times New Roman" w:cs="Times New Roman"/>
          <w:color w:val="auto"/>
          <w:highlight w:val="none"/>
          <w:lang w:eastAsia="zh-CN"/>
        </w:rPr>
        <w:t>7.</w:t>
      </w:r>
      <w:r>
        <w:rPr>
          <w:rFonts w:hint="eastAsia" w:cs="Times New Roman"/>
          <w:color w:val="auto"/>
          <w:highlight w:val="none"/>
          <w:lang w:val="en-US" w:eastAsia="zh-CN"/>
        </w:rPr>
        <w:t>5</w:t>
      </w:r>
      <w:r>
        <w:rPr>
          <w:rFonts w:ascii="Times New Roman" w:hAnsi="Times New Roman" w:cs="Times New Roman"/>
          <w:color w:val="auto"/>
          <w:highlight w:val="none"/>
        </w:rPr>
        <w:t>.6第二列）应根据施加30V电压时测量得到的初始电流值所处的范围（表</w:t>
      </w:r>
      <w:r>
        <w:rPr>
          <w:rFonts w:hint="default" w:ascii="Times New Roman" w:hAnsi="Times New Roman" w:cs="Times New Roman"/>
          <w:color w:val="auto"/>
          <w:highlight w:val="none"/>
          <w:lang w:eastAsia="zh-CN"/>
        </w:rPr>
        <w:t>7.</w:t>
      </w:r>
      <w:r>
        <w:rPr>
          <w:rFonts w:hint="eastAsia" w:cs="Times New Roman"/>
          <w:color w:val="auto"/>
          <w:highlight w:val="none"/>
          <w:lang w:val="en-US" w:eastAsia="zh-CN"/>
        </w:rPr>
        <w:t>5</w:t>
      </w:r>
      <w:r>
        <w:rPr>
          <w:rFonts w:ascii="Times New Roman" w:hAnsi="Times New Roman" w:cs="Times New Roman"/>
          <w:color w:val="auto"/>
          <w:highlight w:val="none"/>
        </w:rPr>
        <w:t>.6第一列）</w:t>
      </w:r>
      <w:r>
        <w:rPr>
          <w:rFonts w:hint="default" w:ascii="Times New Roman" w:hAnsi="Times New Roman" w:cs="Times New Roman"/>
          <w:color w:val="auto"/>
          <w:highlight w:val="none"/>
        </w:rPr>
        <w:t>确</w:t>
      </w:r>
      <w:r>
        <w:rPr>
          <w:rFonts w:ascii="Times New Roman" w:hAnsi="Times New Roman" w:cs="Times New Roman"/>
          <w:color w:val="auto"/>
          <w:highlight w:val="none"/>
        </w:rPr>
        <w:t>定。应根据实际施加的电压，记录新的初始电流。应按照新的初始电流值所处的范围（表</w:t>
      </w:r>
      <w:r>
        <w:rPr>
          <w:rFonts w:hint="default" w:ascii="Times New Roman" w:hAnsi="Times New Roman" w:cs="Times New Roman"/>
          <w:color w:val="auto"/>
          <w:highlight w:val="none"/>
          <w:lang w:eastAsia="zh-CN"/>
        </w:rPr>
        <w:t>7.</w:t>
      </w:r>
      <w:r>
        <w:rPr>
          <w:rFonts w:hint="eastAsia" w:cs="Times New Roman"/>
          <w:color w:val="auto"/>
          <w:highlight w:val="none"/>
          <w:lang w:val="en-US" w:eastAsia="zh-CN"/>
        </w:rPr>
        <w:t>5</w:t>
      </w:r>
      <w:r>
        <w:rPr>
          <w:rFonts w:ascii="Times New Roman" w:hAnsi="Times New Roman" w:cs="Times New Roman"/>
          <w:color w:val="auto"/>
          <w:highlight w:val="none"/>
        </w:rPr>
        <w:t>.6第三列），确定试验应持续的时间（表</w:t>
      </w:r>
      <w:r>
        <w:rPr>
          <w:rFonts w:hint="default" w:ascii="Times New Roman" w:hAnsi="Times New Roman" w:cs="Times New Roman"/>
          <w:color w:val="auto"/>
          <w:highlight w:val="none"/>
          <w:lang w:eastAsia="zh-CN"/>
        </w:rPr>
        <w:t>7.</w:t>
      </w:r>
      <w:r>
        <w:rPr>
          <w:rFonts w:hint="eastAsia" w:cs="Times New Roman"/>
          <w:color w:val="auto"/>
          <w:highlight w:val="none"/>
          <w:lang w:val="en-US" w:eastAsia="zh-CN"/>
        </w:rPr>
        <w:t>5</w:t>
      </w:r>
      <w:r>
        <w:rPr>
          <w:rFonts w:ascii="Times New Roman" w:hAnsi="Times New Roman" w:cs="Times New Roman"/>
          <w:color w:val="auto"/>
          <w:highlight w:val="none"/>
        </w:rPr>
        <w:t>.6第四列）。</w:t>
      </w:r>
    </w:p>
    <w:p w14:paraId="5CBBE0AB">
      <w:pPr>
        <w:keepNext w:val="0"/>
        <w:keepLines w:val="0"/>
        <w:pageBreakBefore w:val="0"/>
        <w:widowControl w:val="0"/>
        <w:kinsoku/>
        <w:wordWrap/>
        <w:overflowPunct/>
        <w:topLinePunct/>
        <w:autoSpaceDE/>
        <w:autoSpaceDN/>
        <w:bidi w:val="0"/>
        <w:adjustRightInd w:val="0"/>
        <w:snapToGrid w:val="0"/>
        <w:spacing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3</w:t>
      </w:r>
      <w:r>
        <w:rPr>
          <w:rFonts w:ascii="Times New Roman" w:hAnsi="Times New Roman" w:eastAsia="黑体" w:cs="Times New Roman"/>
          <w:color w:val="auto"/>
          <w:highlight w:val="none"/>
        </w:rPr>
        <w:t xml:space="preserve">  </w:t>
      </w:r>
      <w:r>
        <w:rPr>
          <w:rFonts w:ascii="Times New Roman" w:hAnsi="Times New Roman" w:cs="Times New Roman"/>
          <w:color w:val="auto"/>
          <w:highlight w:val="none"/>
        </w:rPr>
        <w:t>应按照温度计或者电热偶的显示读数记录每一个试件的阳极溶液初始温度。</w:t>
      </w:r>
    </w:p>
    <w:p w14:paraId="3A1161AE">
      <w:pPr>
        <w:kinsoku/>
        <w:overflowPunct/>
        <w:topLinePunct/>
        <w:bidi w:val="0"/>
        <w:adjustRightInd w:val="0"/>
        <w:snapToGrid w:val="0"/>
        <w:spacing w:line="360" w:lineRule="auto"/>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表</w:t>
      </w:r>
      <w:r>
        <w:rPr>
          <w:rFonts w:hint="default" w:ascii="Times New Roman" w:hAnsi="Times New Roman" w:eastAsia="黑体" w:cs="Times New Roman"/>
          <w:color w:val="auto"/>
          <w:sz w:val="18"/>
          <w:szCs w:val="18"/>
          <w:highlight w:val="none"/>
          <w:lang w:eastAsia="zh-CN"/>
        </w:rPr>
        <w:t>7.</w:t>
      </w:r>
      <w:r>
        <w:rPr>
          <w:rFonts w:hint="eastAsia" w:eastAsia="黑体" w:cs="Times New Roman"/>
          <w:color w:val="auto"/>
          <w:sz w:val="18"/>
          <w:szCs w:val="18"/>
          <w:highlight w:val="none"/>
          <w:lang w:val="en-US" w:eastAsia="zh-CN"/>
        </w:rPr>
        <w:t>5</w:t>
      </w:r>
      <w:r>
        <w:rPr>
          <w:rFonts w:ascii="Times New Roman" w:hAnsi="Times New Roman" w:eastAsia="黑体" w:cs="Times New Roman"/>
          <w:color w:val="auto"/>
          <w:sz w:val="18"/>
          <w:szCs w:val="18"/>
          <w:highlight w:val="none"/>
        </w:rPr>
        <w:t>.6  初始电流、电压与试验时间的关系</w:t>
      </w:r>
    </w:p>
    <w:tbl>
      <w:tblPr>
        <w:tblStyle w:val="38"/>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46"/>
        <w:gridCol w:w="2346"/>
        <w:gridCol w:w="2347"/>
        <w:gridCol w:w="2347"/>
      </w:tblGrid>
      <w:tr w14:paraId="3C7F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50" w:type="pct"/>
            <w:noWrap w:val="0"/>
            <w:vAlign w:val="top"/>
          </w:tcPr>
          <w:p w14:paraId="2E346218">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15"/>
                <w:szCs w:val="15"/>
                <w:highlight w:val="none"/>
                <w:vertAlign w:val="subscript"/>
              </w:rPr>
            </w:pPr>
            <w:r>
              <w:rPr>
                <w:rFonts w:hint="default" w:ascii="Times New Roman" w:hAnsi="Times New Roman" w:cs="Times New Roman"/>
                <w:color w:val="auto"/>
                <w:sz w:val="15"/>
                <w:szCs w:val="15"/>
                <w:highlight w:val="none"/>
              </w:rPr>
              <w:t>初始电流</w:t>
            </w:r>
            <w:r>
              <w:rPr>
                <w:rFonts w:hint="default" w:ascii="Times New Roman" w:hAnsi="Times New Roman" w:cs="Times New Roman"/>
                <w:i/>
                <w:iCs/>
                <w:color w:val="auto"/>
                <w:sz w:val="15"/>
                <w:szCs w:val="15"/>
                <w:highlight w:val="none"/>
              </w:rPr>
              <w:t>I</w:t>
            </w:r>
            <w:r>
              <w:rPr>
                <w:rFonts w:hint="default" w:ascii="Times New Roman" w:hAnsi="Times New Roman" w:cs="Times New Roman"/>
                <w:i/>
                <w:iCs/>
                <w:color w:val="auto"/>
                <w:sz w:val="15"/>
                <w:szCs w:val="15"/>
                <w:highlight w:val="none"/>
                <w:vertAlign w:val="subscript"/>
              </w:rPr>
              <w:t>0</w:t>
            </w:r>
          </w:p>
          <w:p w14:paraId="225501B6">
            <w:pPr>
              <w:keepNext w:val="0"/>
              <w:keepLines w:val="0"/>
              <w:suppressLineNumbers w:val="0"/>
              <w:kinsoku/>
              <w:overflowPunct/>
              <w:bidi w:val="0"/>
              <w:spacing w:before="0" w:beforeAutospacing="0" w:after="0" w:afterAutospacing="0" w:line="360" w:lineRule="auto"/>
              <w:ind w:left="0" w:right="0"/>
              <w:jc w:val="center"/>
              <w:rPr>
                <w:rFonts w:hint="default"/>
                <w:color w:val="auto"/>
                <w:highlight w:val="none"/>
              </w:rPr>
            </w:pPr>
            <w:r>
              <w:rPr>
                <w:rFonts w:hint="default" w:ascii="Times New Roman" w:hAnsi="Times New Roman" w:cs="Times New Roman"/>
                <w:color w:val="auto"/>
                <w:sz w:val="15"/>
                <w:szCs w:val="15"/>
                <w:highlight w:val="none"/>
              </w:rPr>
              <w:t>（用30V电压）（mA）</w:t>
            </w:r>
          </w:p>
        </w:tc>
        <w:tc>
          <w:tcPr>
            <w:tcW w:w="1250" w:type="pct"/>
            <w:noWrap w:val="0"/>
            <w:vAlign w:val="top"/>
          </w:tcPr>
          <w:p w14:paraId="44B81A90">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施加的电压</w:t>
            </w:r>
            <w:r>
              <w:rPr>
                <w:rFonts w:hint="default" w:ascii="Times New Roman" w:hAnsi="Times New Roman" w:cs="Times New Roman"/>
                <w:i/>
                <w:iCs/>
                <w:color w:val="auto"/>
                <w:sz w:val="15"/>
                <w:szCs w:val="15"/>
                <w:highlight w:val="none"/>
              </w:rPr>
              <w:t>U</w:t>
            </w:r>
          </w:p>
          <w:p w14:paraId="08A5CE12">
            <w:pPr>
              <w:keepNext w:val="0"/>
              <w:keepLines w:val="0"/>
              <w:suppressLineNumbers w:val="0"/>
              <w:kinsoku/>
              <w:overflowPunct/>
              <w:bidi w:val="0"/>
              <w:spacing w:before="0" w:beforeAutospacing="0" w:after="0" w:afterAutospacing="0" w:line="360" w:lineRule="auto"/>
              <w:ind w:left="0" w:right="0"/>
              <w:jc w:val="center"/>
              <w:rPr>
                <w:rFonts w:hint="default"/>
                <w:color w:val="auto"/>
                <w:highlight w:val="none"/>
              </w:rPr>
            </w:pPr>
            <w:r>
              <w:rPr>
                <w:rFonts w:hint="default" w:ascii="Times New Roman" w:hAnsi="Times New Roman" w:cs="Times New Roman"/>
                <w:color w:val="auto"/>
                <w:sz w:val="15"/>
                <w:szCs w:val="15"/>
                <w:highlight w:val="none"/>
              </w:rPr>
              <w:t>（调整后）（V）</w:t>
            </w:r>
          </w:p>
        </w:tc>
        <w:tc>
          <w:tcPr>
            <w:tcW w:w="1250" w:type="pct"/>
            <w:noWrap w:val="0"/>
            <w:vAlign w:val="top"/>
          </w:tcPr>
          <w:p w14:paraId="77BF9AC5">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可能的新初始电流</w:t>
            </w:r>
          </w:p>
          <w:p w14:paraId="3477D326">
            <w:pPr>
              <w:keepNext w:val="0"/>
              <w:keepLines w:val="0"/>
              <w:suppressLineNumbers w:val="0"/>
              <w:kinsoku/>
              <w:overflowPunct/>
              <w:bidi w:val="0"/>
              <w:spacing w:before="0" w:beforeAutospacing="0" w:after="0" w:afterAutospacing="0" w:line="360" w:lineRule="auto"/>
              <w:ind w:left="0" w:right="0"/>
              <w:jc w:val="center"/>
              <w:rPr>
                <w:rFonts w:hint="default"/>
                <w:color w:val="auto"/>
                <w:highlight w:val="none"/>
              </w:rPr>
            </w:pPr>
            <w:r>
              <w:rPr>
                <w:rFonts w:hint="default" w:ascii="Times New Roman" w:hAnsi="Times New Roman" w:cs="Times New Roman"/>
                <w:i/>
                <w:iCs/>
                <w:color w:val="auto"/>
                <w:sz w:val="15"/>
                <w:szCs w:val="15"/>
                <w:highlight w:val="none"/>
              </w:rPr>
              <w:t>I</w:t>
            </w:r>
            <w:r>
              <w:rPr>
                <w:rFonts w:hint="default" w:ascii="Times New Roman" w:hAnsi="Times New Roman" w:cs="Times New Roman"/>
                <w:i/>
                <w:iCs/>
                <w:color w:val="auto"/>
                <w:sz w:val="15"/>
                <w:szCs w:val="15"/>
                <w:highlight w:val="none"/>
                <w:vertAlign w:val="subscript"/>
              </w:rPr>
              <w:t>0</w:t>
            </w:r>
            <w:r>
              <w:rPr>
                <w:rFonts w:hint="default" w:ascii="Times New Roman" w:hAnsi="Times New Roman" w:cs="Times New Roman"/>
                <w:color w:val="auto"/>
                <w:sz w:val="15"/>
                <w:szCs w:val="15"/>
                <w:highlight w:val="none"/>
              </w:rPr>
              <w:t>（mA）</w:t>
            </w:r>
          </w:p>
        </w:tc>
        <w:tc>
          <w:tcPr>
            <w:tcW w:w="1250" w:type="pct"/>
            <w:noWrap w:val="0"/>
            <w:vAlign w:val="top"/>
          </w:tcPr>
          <w:p w14:paraId="1945711D">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试验持续时间</w:t>
            </w:r>
          </w:p>
          <w:p w14:paraId="08BF8FE9">
            <w:pPr>
              <w:keepNext w:val="0"/>
              <w:keepLines w:val="0"/>
              <w:suppressLineNumbers w:val="0"/>
              <w:kinsoku/>
              <w:overflowPunct/>
              <w:bidi w:val="0"/>
              <w:spacing w:before="0" w:beforeAutospacing="0" w:after="0" w:afterAutospacing="0" w:line="360" w:lineRule="auto"/>
              <w:ind w:left="0" w:right="0"/>
              <w:jc w:val="center"/>
              <w:rPr>
                <w:rFonts w:hint="default"/>
                <w:color w:val="auto"/>
                <w:highlight w:val="none"/>
              </w:rPr>
            </w:pPr>
            <w:r>
              <w:rPr>
                <w:rFonts w:hint="default" w:ascii="Times New Roman" w:hAnsi="Times New Roman" w:cs="Times New Roman"/>
                <w:i/>
                <w:iCs/>
                <w:color w:val="auto"/>
                <w:sz w:val="15"/>
                <w:szCs w:val="15"/>
                <w:highlight w:val="none"/>
              </w:rPr>
              <w:t>t</w:t>
            </w:r>
            <w:r>
              <w:rPr>
                <w:rFonts w:hint="default" w:ascii="Times New Roman" w:hAnsi="Times New Roman" w:cs="Times New Roman"/>
                <w:color w:val="auto"/>
                <w:sz w:val="15"/>
                <w:szCs w:val="15"/>
                <w:highlight w:val="none"/>
              </w:rPr>
              <w:t>（h）</w:t>
            </w:r>
          </w:p>
        </w:tc>
      </w:tr>
      <w:tr w14:paraId="3FC7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50" w:type="pct"/>
            <w:shd w:val="clear" w:color="auto" w:fill="auto"/>
            <w:noWrap w:val="0"/>
            <w:vAlign w:val="center"/>
          </w:tcPr>
          <w:p w14:paraId="0F5FC7F1">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de-DE" w:eastAsia="zh-CN" w:bidi="ar-SA"/>
              </w:rPr>
            </w:pPr>
            <w:r>
              <w:rPr>
                <w:rFonts w:hint="default" w:ascii="Times New Roman" w:hAnsi="Times New Roman" w:cs="Times New Roman"/>
                <w:i/>
                <w:color w:val="auto"/>
                <w:sz w:val="15"/>
                <w:szCs w:val="15"/>
                <w:highlight w:val="none"/>
              </w:rPr>
              <w:sym w:font="Symbol" w:char="F049"/>
            </w:r>
            <w:r>
              <w:rPr>
                <w:rFonts w:hint="default" w:ascii="Times New Roman" w:hAnsi="Times New Roman" w:cs="Times New Roman"/>
                <w:color w:val="auto"/>
                <w:sz w:val="15"/>
                <w:szCs w:val="15"/>
                <w:highlight w:val="none"/>
              </w:rPr>
              <w:t xml:space="preserve"> </w:t>
            </w:r>
            <w:r>
              <w:rPr>
                <w:rFonts w:hint="default" w:ascii="Times New Roman" w:hAnsi="Times New Roman" w:cs="Times New Roman"/>
                <w:color w:val="auto"/>
                <w:sz w:val="15"/>
                <w:szCs w:val="15"/>
                <w:highlight w:val="none"/>
                <w:vertAlign w:val="subscript"/>
                <w:lang w:val="de-DE"/>
              </w:rPr>
              <w:t>0</w:t>
            </w:r>
            <w:r>
              <w:rPr>
                <w:rFonts w:hint="default" w:ascii="Times New Roman" w:hAnsi="Times New Roman" w:cs="Times New Roman"/>
                <w:color w:val="auto"/>
                <w:sz w:val="15"/>
                <w:szCs w:val="15"/>
                <w:highlight w:val="none"/>
                <w:lang w:val="de-DE"/>
              </w:rPr>
              <w:t xml:space="preserve"> &lt; </w:t>
            </w:r>
            <w:r>
              <w:rPr>
                <w:rFonts w:hint="default" w:ascii="Times New Roman" w:hAnsi="Times New Roman" w:cs="Times New Roman"/>
                <w:color w:val="auto"/>
                <w:sz w:val="15"/>
                <w:szCs w:val="15"/>
                <w:highlight w:val="none"/>
                <w:lang w:val="en-US" w:eastAsia="zh-CN"/>
              </w:rPr>
              <w:t>2.5</w:t>
            </w:r>
          </w:p>
        </w:tc>
        <w:tc>
          <w:tcPr>
            <w:tcW w:w="1250" w:type="pct"/>
            <w:shd w:val="clear" w:color="auto" w:fill="auto"/>
            <w:noWrap w:val="0"/>
            <w:vAlign w:val="center"/>
          </w:tcPr>
          <w:p w14:paraId="6BA724BC">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de-DE" w:eastAsia="zh-CN" w:bidi="ar-SA"/>
              </w:rPr>
            </w:pPr>
            <w:r>
              <w:rPr>
                <w:rFonts w:hint="default" w:ascii="Times New Roman" w:hAnsi="Times New Roman" w:cs="Times New Roman"/>
                <w:color w:val="auto"/>
                <w:sz w:val="15"/>
                <w:szCs w:val="15"/>
                <w:highlight w:val="none"/>
                <w:lang w:val="en-US" w:eastAsia="zh-CN"/>
              </w:rPr>
              <w:t>90</w:t>
            </w:r>
          </w:p>
        </w:tc>
        <w:tc>
          <w:tcPr>
            <w:tcW w:w="1250" w:type="pct"/>
            <w:shd w:val="clear" w:color="auto" w:fill="auto"/>
            <w:noWrap w:val="0"/>
            <w:vAlign w:val="center"/>
          </w:tcPr>
          <w:p w14:paraId="26E6253E">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de-DE" w:eastAsia="zh-CN" w:bidi="ar-SA"/>
              </w:rPr>
            </w:pPr>
            <w:r>
              <w:rPr>
                <w:rFonts w:hint="default" w:ascii="Times New Roman" w:hAnsi="Times New Roman" w:cs="Times New Roman"/>
                <w:color w:val="auto"/>
                <w:sz w:val="15"/>
                <w:szCs w:val="15"/>
                <w:highlight w:val="none"/>
                <w:lang w:val="en-US" w:eastAsia="zh-CN"/>
              </w:rPr>
              <w:t>5</w:t>
            </w:r>
            <w:r>
              <w:rPr>
                <w:rFonts w:hint="default" w:ascii="Times New Roman" w:hAnsi="Times New Roman" w:cs="Times New Roman"/>
                <w:color w:val="auto"/>
                <w:sz w:val="15"/>
                <w:szCs w:val="15"/>
                <w:highlight w:val="none"/>
              </w:rPr>
              <w:sym w:font="Symbol" w:char="F0A3"/>
            </w:r>
            <w:r>
              <w:rPr>
                <w:rFonts w:hint="default" w:ascii="Times New Roman" w:hAnsi="Times New Roman" w:cs="Times New Roman"/>
                <w:color w:val="auto"/>
                <w:sz w:val="15"/>
                <w:szCs w:val="15"/>
                <w:highlight w:val="none"/>
                <w:lang w:val="en-US" w:eastAsia="zh-CN"/>
              </w:rPr>
              <w:t xml:space="preserve"> </w:t>
            </w:r>
            <w:r>
              <w:rPr>
                <w:rFonts w:hint="default" w:ascii="Times New Roman" w:hAnsi="Times New Roman" w:cs="Times New Roman"/>
                <w:i/>
                <w:color w:val="auto"/>
                <w:sz w:val="15"/>
                <w:szCs w:val="15"/>
                <w:highlight w:val="none"/>
              </w:rPr>
              <w:sym w:font="Symbol" w:char="F049"/>
            </w:r>
            <w:r>
              <w:rPr>
                <w:rFonts w:hint="default" w:ascii="Times New Roman" w:hAnsi="Times New Roman" w:cs="Times New Roman"/>
                <w:color w:val="auto"/>
                <w:sz w:val="15"/>
                <w:szCs w:val="15"/>
                <w:highlight w:val="none"/>
              </w:rPr>
              <w:t xml:space="preserve"> </w:t>
            </w:r>
            <w:r>
              <w:rPr>
                <w:rFonts w:hint="default" w:ascii="Times New Roman" w:hAnsi="Times New Roman" w:cs="Times New Roman"/>
                <w:color w:val="auto"/>
                <w:sz w:val="15"/>
                <w:szCs w:val="15"/>
                <w:highlight w:val="none"/>
                <w:vertAlign w:val="subscript"/>
                <w:lang w:val="de-DE"/>
              </w:rPr>
              <w:t>0</w:t>
            </w:r>
            <w:r>
              <w:rPr>
                <w:rFonts w:hint="default" w:ascii="Times New Roman" w:hAnsi="Times New Roman" w:cs="Times New Roman"/>
                <w:color w:val="auto"/>
                <w:sz w:val="15"/>
                <w:szCs w:val="15"/>
                <w:highlight w:val="none"/>
                <w:lang w:val="de-DE"/>
              </w:rPr>
              <w:t xml:space="preserve"> &lt; 10</w:t>
            </w:r>
          </w:p>
        </w:tc>
        <w:tc>
          <w:tcPr>
            <w:tcW w:w="1250" w:type="pct"/>
            <w:shd w:val="clear" w:color="auto" w:fill="auto"/>
            <w:noWrap w:val="0"/>
            <w:vAlign w:val="top"/>
          </w:tcPr>
          <w:p w14:paraId="18C2BC94">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en-US" w:eastAsia="zh-CN" w:bidi="ar-SA"/>
              </w:rPr>
            </w:pPr>
            <w:r>
              <w:rPr>
                <w:rFonts w:hint="default" w:ascii="Times New Roman" w:hAnsi="Times New Roman" w:cs="Times New Roman"/>
                <w:color w:val="auto"/>
                <w:sz w:val="15"/>
                <w:szCs w:val="15"/>
                <w:highlight w:val="none"/>
                <w:lang w:val="en-US" w:eastAsia="zh-CN"/>
              </w:rPr>
              <w:t>168</w:t>
            </w:r>
          </w:p>
        </w:tc>
      </w:tr>
      <w:tr w14:paraId="036C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50" w:type="pct"/>
            <w:shd w:val="clear" w:color="auto" w:fill="auto"/>
            <w:noWrap w:val="0"/>
            <w:vAlign w:val="center"/>
          </w:tcPr>
          <w:p w14:paraId="27902E20">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de-DE" w:eastAsia="zh-CN" w:bidi="ar-SA"/>
              </w:rPr>
            </w:pPr>
            <w:r>
              <w:rPr>
                <w:rFonts w:hint="default" w:ascii="Times New Roman" w:hAnsi="Times New Roman" w:cs="Times New Roman"/>
                <w:color w:val="auto"/>
                <w:sz w:val="15"/>
                <w:szCs w:val="15"/>
                <w:highlight w:val="none"/>
                <w:lang w:val="en-US" w:eastAsia="zh-CN"/>
              </w:rPr>
              <w:t>2.</w:t>
            </w:r>
            <w:r>
              <w:rPr>
                <w:rFonts w:hint="default" w:ascii="Times New Roman" w:hAnsi="Times New Roman" w:cs="Times New Roman"/>
                <w:color w:val="auto"/>
                <w:sz w:val="15"/>
                <w:szCs w:val="15"/>
                <w:highlight w:val="none"/>
                <w:lang w:val="de-DE"/>
              </w:rPr>
              <w:t xml:space="preserve">5 </w:t>
            </w:r>
            <w:r>
              <w:rPr>
                <w:rFonts w:hint="default" w:ascii="Times New Roman" w:hAnsi="Times New Roman" w:cs="Times New Roman"/>
                <w:color w:val="auto"/>
                <w:sz w:val="15"/>
                <w:szCs w:val="15"/>
                <w:highlight w:val="none"/>
              </w:rPr>
              <w:sym w:font="Symbol" w:char="F0A3"/>
            </w:r>
            <w:r>
              <w:rPr>
                <w:rFonts w:hint="default" w:ascii="Times New Roman" w:hAnsi="Times New Roman" w:cs="Times New Roman"/>
                <w:i/>
                <w:color w:val="auto"/>
                <w:sz w:val="15"/>
                <w:szCs w:val="15"/>
                <w:highlight w:val="none"/>
                <w:lang w:val="de-DE"/>
              </w:rPr>
              <w:t xml:space="preserve"> </w:t>
            </w:r>
            <w:r>
              <w:rPr>
                <w:rFonts w:hint="default" w:ascii="Times New Roman" w:hAnsi="Times New Roman" w:cs="Times New Roman"/>
                <w:i/>
                <w:color w:val="auto"/>
                <w:sz w:val="15"/>
                <w:szCs w:val="15"/>
                <w:highlight w:val="none"/>
              </w:rPr>
              <w:sym w:font="Symbol" w:char="F049"/>
            </w:r>
            <w:r>
              <w:rPr>
                <w:rFonts w:hint="default" w:ascii="Times New Roman" w:hAnsi="Times New Roman" w:cs="Times New Roman"/>
                <w:color w:val="auto"/>
                <w:sz w:val="15"/>
                <w:szCs w:val="15"/>
                <w:highlight w:val="none"/>
              </w:rPr>
              <w:t xml:space="preserve"> </w:t>
            </w:r>
            <w:r>
              <w:rPr>
                <w:rFonts w:hint="default" w:ascii="Times New Roman" w:hAnsi="Times New Roman" w:cs="Times New Roman"/>
                <w:color w:val="auto"/>
                <w:sz w:val="15"/>
                <w:szCs w:val="15"/>
                <w:highlight w:val="none"/>
                <w:vertAlign w:val="subscript"/>
                <w:lang w:val="de-DE"/>
              </w:rPr>
              <w:t>0</w:t>
            </w:r>
            <w:r>
              <w:rPr>
                <w:rFonts w:hint="default" w:ascii="Times New Roman" w:hAnsi="Times New Roman" w:cs="Times New Roman"/>
                <w:color w:val="auto"/>
                <w:sz w:val="15"/>
                <w:szCs w:val="15"/>
                <w:highlight w:val="none"/>
                <w:lang w:val="de-DE"/>
              </w:rPr>
              <w:t xml:space="preserve"> &lt; </w:t>
            </w:r>
            <w:r>
              <w:rPr>
                <w:rFonts w:hint="default" w:ascii="Times New Roman" w:hAnsi="Times New Roman" w:cs="Times New Roman"/>
                <w:color w:val="auto"/>
                <w:sz w:val="15"/>
                <w:szCs w:val="15"/>
                <w:highlight w:val="none"/>
                <w:lang w:val="en-US" w:eastAsia="zh-CN"/>
              </w:rPr>
              <w:t>5</w:t>
            </w:r>
          </w:p>
        </w:tc>
        <w:tc>
          <w:tcPr>
            <w:tcW w:w="1250" w:type="pct"/>
            <w:shd w:val="clear" w:color="auto" w:fill="auto"/>
            <w:noWrap w:val="0"/>
            <w:vAlign w:val="center"/>
          </w:tcPr>
          <w:p w14:paraId="23C19CB8">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de-DE" w:eastAsia="zh-CN" w:bidi="ar-SA"/>
              </w:rPr>
            </w:pPr>
            <w:r>
              <w:rPr>
                <w:rFonts w:hint="default" w:ascii="Times New Roman" w:hAnsi="Times New Roman" w:cs="Times New Roman"/>
                <w:color w:val="auto"/>
                <w:sz w:val="15"/>
                <w:szCs w:val="15"/>
                <w:highlight w:val="none"/>
                <w:lang w:val="de-DE"/>
              </w:rPr>
              <w:t>60</w:t>
            </w:r>
          </w:p>
        </w:tc>
        <w:tc>
          <w:tcPr>
            <w:tcW w:w="1250" w:type="pct"/>
            <w:shd w:val="clear" w:color="auto" w:fill="auto"/>
            <w:noWrap w:val="0"/>
            <w:vAlign w:val="center"/>
          </w:tcPr>
          <w:p w14:paraId="7E4357E4">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de-DE" w:eastAsia="zh-CN" w:bidi="ar-SA"/>
              </w:rPr>
            </w:pPr>
            <w:r>
              <w:rPr>
                <w:rFonts w:hint="default" w:ascii="Times New Roman" w:hAnsi="Times New Roman" w:cs="Times New Roman"/>
                <w:color w:val="auto"/>
                <w:sz w:val="15"/>
                <w:szCs w:val="15"/>
                <w:highlight w:val="none"/>
                <w:lang w:val="en-US" w:eastAsia="zh-CN"/>
              </w:rPr>
              <w:t>5</w:t>
            </w:r>
            <w:r>
              <w:rPr>
                <w:rFonts w:hint="default" w:ascii="Times New Roman" w:hAnsi="Times New Roman" w:cs="Times New Roman"/>
                <w:color w:val="auto"/>
                <w:sz w:val="15"/>
                <w:szCs w:val="15"/>
                <w:highlight w:val="none"/>
                <w:lang w:val="de-DE"/>
              </w:rPr>
              <w:t xml:space="preserve"> </w:t>
            </w:r>
            <w:r>
              <w:rPr>
                <w:rFonts w:hint="default" w:ascii="Times New Roman" w:hAnsi="Times New Roman" w:cs="Times New Roman"/>
                <w:color w:val="auto"/>
                <w:sz w:val="15"/>
                <w:szCs w:val="15"/>
                <w:highlight w:val="none"/>
              </w:rPr>
              <w:sym w:font="Symbol" w:char="F0A3"/>
            </w:r>
            <w:r>
              <w:rPr>
                <w:rFonts w:hint="default" w:ascii="Times New Roman" w:hAnsi="Times New Roman" w:cs="Times New Roman"/>
                <w:i/>
                <w:color w:val="auto"/>
                <w:sz w:val="15"/>
                <w:szCs w:val="15"/>
                <w:highlight w:val="none"/>
                <w:lang w:val="de-DE"/>
              </w:rPr>
              <w:t xml:space="preserve"> </w:t>
            </w:r>
            <w:r>
              <w:rPr>
                <w:rFonts w:hint="default" w:ascii="Times New Roman" w:hAnsi="Times New Roman" w:cs="Times New Roman"/>
                <w:i/>
                <w:color w:val="auto"/>
                <w:sz w:val="15"/>
                <w:szCs w:val="15"/>
                <w:highlight w:val="none"/>
              </w:rPr>
              <w:sym w:font="Symbol" w:char="F049"/>
            </w:r>
            <w:r>
              <w:rPr>
                <w:rFonts w:hint="default" w:ascii="Times New Roman" w:hAnsi="Times New Roman" w:cs="Times New Roman"/>
                <w:color w:val="auto"/>
                <w:sz w:val="15"/>
                <w:szCs w:val="15"/>
                <w:highlight w:val="none"/>
              </w:rPr>
              <w:t xml:space="preserve"> </w:t>
            </w:r>
            <w:r>
              <w:rPr>
                <w:rFonts w:hint="default" w:ascii="Times New Roman" w:hAnsi="Times New Roman" w:cs="Times New Roman"/>
                <w:color w:val="auto"/>
                <w:sz w:val="15"/>
                <w:szCs w:val="15"/>
                <w:highlight w:val="none"/>
                <w:vertAlign w:val="subscript"/>
                <w:lang w:val="de-DE"/>
              </w:rPr>
              <w:t>0</w:t>
            </w:r>
            <w:r>
              <w:rPr>
                <w:rFonts w:hint="default" w:ascii="Times New Roman" w:hAnsi="Times New Roman" w:cs="Times New Roman"/>
                <w:color w:val="auto"/>
                <w:sz w:val="15"/>
                <w:szCs w:val="15"/>
                <w:highlight w:val="none"/>
                <w:lang w:val="de-DE"/>
              </w:rPr>
              <w:t xml:space="preserve"> &lt; </w:t>
            </w:r>
            <w:r>
              <w:rPr>
                <w:rFonts w:hint="default" w:ascii="Times New Roman" w:hAnsi="Times New Roman" w:cs="Times New Roman"/>
                <w:color w:val="auto"/>
                <w:sz w:val="15"/>
                <w:szCs w:val="15"/>
                <w:highlight w:val="none"/>
                <w:lang w:val="en-US" w:eastAsia="zh-CN"/>
              </w:rPr>
              <w:t>1</w:t>
            </w:r>
            <w:r>
              <w:rPr>
                <w:rFonts w:hint="default" w:ascii="Times New Roman" w:hAnsi="Times New Roman" w:cs="Times New Roman"/>
                <w:color w:val="auto"/>
                <w:sz w:val="15"/>
                <w:szCs w:val="15"/>
                <w:highlight w:val="none"/>
                <w:lang w:val="de-DE"/>
              </w:rPr>
              <w:t>0</w:t>
            </w:r>
          </w:p>
        </w:tc>
        <w:tc>
          <w:tcPr>
            <w:tcW w:w="1250" w:type="pct"/>
            <w:shd w:val="clear" w:color="auto" w:fill="auto"/>
            <w:noWrap w:val="0"/>
            <w:vAlign w:val="top"/>
          </w:tcPr>
          <w:p w14:paraId="4DD9A031">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en-US" w:eastAsia="zh-CN" w:bidi="ar-SA"/>
              </w:rPr>
            </w:pPr>
            <w:r>
              <w:rPr>
                <w:rFonts w:hint="default" w:ascii="Times New Roman" w:hAnsi="Times New Roman" w:cs="Times New Roman"/>
                <w:color w:val="auto"/>
                <w:sz w:val="15"/>
                <w:szCs w:val="15"/>
                <w:highlight w:val="none"/>
              </w:rPr>
              <w:t>96</w:t>
            </w:r>
          </w:p>
        </w:tc>
      </w:tr>
      <w:tr w14:paraId="4458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50" w:type="pct"/>
            <w:shd w:val="clear" w:color="auto" w:fill="auto"/>
            <w:noWrap w:val="0"/>
            <w:vAlign w:val="center"/>
          </w:tcPr>
          <w:p w14:paraId="1C2CDF17">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de-DE" w:eastAsia="zh-CN" w:bidi="ar-SA"/>
              </w:rPr>
            </w:pPr>
            <w:r>
              <w:rPr>
                <w:rFonts w:hint="default" w:ascii="Times New Roman" w:hAnsi="Times New Roman" w:cs="Times New Roman"/>
                <w:color w:val="auto"/>
                <w:sz w:val="15"/>
                <w:szCs w:val="15"/>
                <w:highlight w:val="none"/>
                <w:lang w:val="en-US" w:eastAsia="zh-CN"/>
              </w:rPr>
              <w:t>5</w:t>
            </w:r>
            <w:r>
              <w:rPr>
                <w:rFonts w:hint="default" w:ascii="Times New Roman" w:hAnsi="Times New Roman" w:cs="Times New Roman"/>
                <w:color w:val="auto"/>
                <w:sz w:val="15"/>
                <w:szCs w:val="15"/>
                <w:highlight w:val="none"/>
                <w:lang w:val="de-DE"/>
              </w:rPr>
              <w:t xml:space="preserve"> </w:t>
            </w:r>
            <w:r>
              <w:rPr>
                <w:rFonts w:hint="default" w:ascii="Times New Roman" w:hAnsi="Times New Roman" w:cs="Times New Roman"/>
                <w:color w:val="auto"/>
                <w:sz w:val="15"/>
                <w:szCs w:val="15"/>
                <w:highlight w:val="none"/>
              </w:rPr>
              <w:sym w:font="Symbol" w:char="F0A3"/>
            </w:r>
            <w:r>
              <w:rPr>
                <w:rFonts w:hint="default" w:ascii="Times New Roman" w:hAnsi="Times New Roman" w:cs="Times New Roman"/>
                <w:color w:val="auto"/>
                <w:sz w:val="15"/>
                <w:szCs w:val="15"/>
                <w:highlight w:val="none"/>
                <w:lang w:val="de-DE"/>
              </w:rPr>
              <w:t xml:space="preserve"> </w:t>
            </w:r>
            <w:r>
              <w:rPr>
                <w:rFonts w:hint="default" w:ascii="Times New Roman" w:hAnsi="Times New Roman" w:cs="Times New Roman"/>
                <w:i/>
                <w:color w:val="auto"/>
                <w:sz w:val="15"/>
                <w:szCs w:val="15"/>
                <w:highlight w:val="none"/>
              </w:rPr>
              <w:sym w:font="Symbol" w:char="F049"/>
            </w:r>
            <w:r>
              <w:rPr>
                <w:rFonts w:hint="default" w:ascii="Times New Roman" w:hAnsi="Times New Roman" w:cs="Times New Roman"/>
                <w:color w:val="auto"/>
                <w:sz w:val="15"/>
                <w:szCs w:val="15"/>
                <w:highlight w:val="none"/>
              </w:rPr>
              <w:t xml:space="preserve"> </w:t>
            </w:r>
            <w:r>
              <w:rPr>
                <w:rFonts w:hint="default" w:ascii="Times New Roman" w:hAnsi="Times New Roman" w:cs="Times New Roman"/>
                <w:color w:val="auto"/>
                <w:sz w:val="15"/>
                <w:szCs w:val="15"/>
                <w:highlight w:val="none"/>
                <w:vertAlign w:val="subscript"/>
                <w:lang w:val="de-DE"/>
              </w:rPr>
              <w:t>0</w:t>
            </w:r>
            <w:r>
              <w:rPr>
                <w:rFonts w:hint="default" w:ascii="Times New Roman" w:hAnsi="Times New Roman" w:cs="Times New Roman"/>
                <w:color w:val="auto"/>
                <w:sz w:val="15"/>
                <w:szCs w:val="15"/>
                <w:highlight w:val="none"/>
                <w:lang w:val="de-DE"/>
              </w:rPr>
              <w:t xml:space="preserve"> &lt;1</w:t>
            </w:r>
            <w:r>
              <w:rPr>
                <w:rFonts w:hint="default" w:ascii="Times New Roman" w:hAnsi="Times New Roman" w:cs="Times New Roman"/>
                <w:color w:val="auto"/>
                <w:sz w:val="15"/>
                <w:szCs w:val="15"/>
                <w:highlight w:val="none"/>
                <w:lang w:val="en-US" w:eastAsia="zh-CN"/>
              </w:rPr>
              <w:t>0</w:t>
            </w:r>
          </w:p>
        </w:tc>
        <w:tc>
          <w:tcPr>
            <w:tcW w:w="1250" w:type="pct"/>
            <w:shd w:val="clear" w:color="auto" w:fill="auto"/>
            <w:noWrap w:val="0"/>
            <w:vAlign w:val="center"/>
          </w:tcPr>
          <w:p w14:paraId="36350A1B">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de-DE" w:eastAsia="zh-CN" w:bidi="ar-SA"/>
              </w:rPr>
            </w:pPr>
            <w:r>
              <w:rPr>
                <w:rFonts w:hint="default" w:ascii="Times New Roman" w:hAnsi="Times New Roman" w:cs="Times New Roman"/>
                <w:color w:val="auto"/>
                <w:sz w:val="15"/>
                <w:szCs w:val="15"/>
                <w:highlight w:val="none"/>
                <w:lang w:val="de-DE"/>
              </w:rPr>
              <w:t>60</w:t>
            </w:r>
          </w:p>
        </w:tc>
        <w:tc>
          <w:tcPr>
            <w:tcW w:w="1250" w:type="pct"/>
            <w:shd w:val="clear" w:color="auto" w:fill="auto"/>
            <w:noWrap w:val="0"/>
            <w:vAlign w:val="center"/>
          </w:tcPr>
          <w:p w14:paraId="21CD6D39">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de-DE" w:eastAsia="zh-CN" w:bidi="ar-SA"/>
              </w:rPr>
            </w:pPr>
            <w:r>
              <w:rPr>
                <w:rFonts w:hint="default" w:ascii="Times New Roman" w:hAnsi="Times New Roman" w:cs="Times New Roman"/>
                <w:color w:val="auto"/>
                <w:sz w:val="15"/>
                <w:szCs w:val="15"/>
                <w:highlight w:val="none"/>
                <w:lang w:val="en-US" w:eastAsia="zh-CN"/>
              </w:rPr>
              <w:t>1</w:t>
            </w:r>
            <w:r>
              <w:rPr>
                <w:rFonts w:hint="default" w:ascii="Times New Roman" w:hAnsi="Times New Roman" w:cs="Times New Roman"/>
                <w:color w:val="auto"/>
                <w:sz w:val="15"/>
                <w:szCs w:val="15"/>
                <w:highlight w:val="none"/>
                <w:lang w:val="de-DE"/>
              </w:rPr>
              <w:t xml:space="preserve">0 </w:t>
            </w:r>
            <w:r>
              <w:rPr>
                <w:rFonts w:hint="default" w:ascii="Times New Roman" w:hAnsi="Times New Roman" w:cs="Times New Roman"/>
                <w:color w:val="auto"/>
                <w:sz w:val="15"/>
                <w:szCs w:val="15"/>
                <w:highlight w:val="none"/>
              </w:rPr>
              <w:sym w:font="Symbol" w:char="F0A3"/>
            </w:r>
            <w:r>
              <w:rPr>
                <w:rFonts w:hint="default" w:ascii="Times New Roman" w:hAnsi="Times New Roman" w:cs="Times New Roman"/>
                <w:color w:val="auto"/>
                <w:sz w:val="15"/>
                <w:szCs w:val="15"/>
                <w:highlight w:val="none"/>
                <w:lang w:val="de-DE"/>
              </w:rPr>
              <w:t xml:space="preserve"> </w:t>
            </w:r>
            <w:r>
              <w:rPr>
                <w:rFonts w:hint="default" w:ascii="Times New Roman" w:hAnsi="Times New Roman" w:cs="Times New Roman"/>
                <w:i/>
                <w:color w:val="auto"/>
                <w:sz w:val="15"/>
                <w:szCs w:val="15"/>
                <w:highlight w:val="none"/>
              </w:rPr>
              <w:sym w:font="Symbol" w:char="F049"/>
            </w:r>
            <w:r>
              <w:rPr>
                <w:rFonts w:hint="default" w:ascii="Times New Roman" w:hAnsi="Times New Roman" w:cs="Times New Roman"/>
                <w:color w:val="auto"/>
                <w:sz w:val="15"/>
                <w:szCs w:val="15"/>
                <w:highlight w:val="none"/>
              </w:rPr>
              <w:t xml:space="preserve"> </w:t>
            </w:r>
            <w:r>
              <w:rPr>
                <w:rFonts w:hint="default" w:ascii="Times New Roman" w:hAnsi="Times New Roman" w:cs="Times New Roman"/>
                <w:color w:val="auto"/>
                <w:sz w:val="15"/>
                <w:szCs w:val="15"/>
                <w:highlight w:val="none"/>
                <w:vertAlign w:val="subscript"/>
                <w:lang w:val="de-DE"/>
              </w:rPr>
              <w:t>0</w:t>
            </w:r>
            <w:r>
              <w:rPr>
                <w:rFonts w:hint="default" w:ascii="Times New Roman" w:hAnsi="Times New Roman" w:cs="Times New Roman"/>
                <w:color w:val="auto"/>
                <w:sz w:val="15"/>
                <w:szCs w:val="15"/>
                <w:highlight w:val="none"/>
                <w:lang w:val="de-DE"/>
              </w:rPr>
              <w:t xml:space="preserve"> &lt;</w:t>
            </w:r>
            <w:r>
              <w:rPr>
                <w:rFonts w:hint="default" w:ascii="Times New Roman" w:hAnsi="Times New Roman" w:cs="Times New Roman"/>
                <w:color w:val="auto"/>
                <w:sz w:val="15"/>
                <w:szCs w:val="15"/>
                <w:highlight w:val="none"/>
                <w:lang w:val="en-US" w:eastAsia="zh-CN"/>
              </w:rPr>
              <w:t>2</w:t>
            </w:r>
            <w:r>
              <w:rPr>
                <w:rFonts w:hint="default" w:ascii="Times New Roman" w:hAnsi="Times New Roman" w:cs="Times New Roman"/>
                <w:color w:val="auto"/>
                <w:sz w:val="15"/>
                <w:szCs w:val="15"/>
                <w:highlight w:val="none"/>
                <w:lang w:val="de-DE"/>
              </w:rPr>
              <w:t>0</w:t>
            </w:r>
          </w:p>
        </w:tc>
        <w:tc>
          <w:tcPr>
            <w:tcW w:w="1250" w:type="pct"/>
            <w:shd w:val="clear" w:color="auto" w:fill="auto"/>
            <w:noWrap w:val="0"/>
            <w:vAlign w:val="top"/>
          </w:tcPr>
          <w:p w14:paraId="27A65F39">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en-US" w:eastAsia="zh-CN" w:bidi="ar-SA"/>
              </w:rPr>
            </w:pPr>
            <w:r>
              <w:rPr>
                <w:rFonts w:hint="default" w:ascii="Times New Roman" w:hAnsi="Times New Roman" w:cs="Times New Roman"/>
                <w:color w:val="auto"/>
                <w:sz w:val="15"/>
                <w:szCs w:val="15"/>
                <w:highlight w:val="none"/>
              </w:rPr>
              <w:t>48</w:t>
            </w:r>
          </w:p>
        </w:tc>
      </w:tr>
      <w:tr w14:paraId="2E3B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50" w:type="pct"/>
            <w:shd w:val="clear" w:color="auto" w:fill="auto"/>
            <w:noWrap w:val="0"/>
            <w:vAlign w:val="center"/>
          </w:tcPr>
          <w:p w14:paraId="54A9F428">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de-DE" w:eastAsia="zh-CN" w:bidi="ar-SA"/>
              </w:rPr>
            </w:pPr>
            <w:r>
              <w:rPr>
                <w:rFonts w:hint="default" w:ascii="Times New Roman" w:hAnsi="Times New Roman" w:cs="Times New Roman"/>
                <w:i/>
                <w:color w:val="auto"/>
                <w:sz w:val="15"/>
                <w:szCs w:val="15"/>
                <w:highlight w:val="none"/>
              </w:rPr>
              <w:sym w:font="Symbol" w:char="F049"/>
            </w:r>
            <w:r>
              <w:rPr>
                <w:rFonts w:hint="default" w:ascii="Times New Roman" w:hAnsi="Times New Roman" w:cs="Times New Roman"/>
                <w:color w:val="auto"/>
                <w:sz w:val="15"/>
                <w:szCs w:val="15"/>
                <w:highlight w:val="none"/>
              </w:rPr>
              <w:t xml:space="preserve"> </w:t>
            </w:r>
            <w:r>
              <w:rPr>
                <w:rFonts w:hint="default" w:ascii="Times New Roman" w:hAnsi="Times New Roman" w:cs="Times New Roman"/>
                <w:color w:val="auto"/>
                <w:sz w:val="15"/>
                <w:szCs w:val="15"/>
                <w:highlight w:val="none"/>
                <w:vertAlign w:val="subscript"/>
                <w:lang w:val="de-DE"/>
              </w:rPr>
              <w:t>0</w:t>
            </w:r>
            <w:r>
              <w:rPr>
                <w:rFonts w:hint="default" w:ascii="Times New Roman" w:hAnsi="Times New Roman" w:cs="Times New Roman"/>
                <w:color w:val="auto"/>
                <w:sz w:val="15"/>
                <w:szCs w:val="15"/>
                <w:highlight w:val="none"/>
                <w:lang w:val="de-DE"/>
              </w:rPr>
              <w:t xml:space="preserve"> ≥ </w:t>
            </w:r>
            <w:r>
              <w:rPr>
                <w:rFonts w:hint="default" w:ascii="Times New Roman" w:hAnsi="Times New Roman" w:cs="Times New Roman"/>
                <w:color w:val="auto"/>
                <w:sz w:val="15"/>
                <w:szCs w:val="15"/>
                <w:highlight w:val="none"/>
                <w:lang w:val="en-US" w:eastAsia="zh-CN"/>
              </w:rPr>
              <w:t>1</w:t>
            </w:r>
            <w:r>
              <w:rPr>
                <w:rFonts w:hint="default" w:ascii="Times New Roman" w:hAnsi="Times New Roman" w:cs="Times New Roman"/>
                <w:color w:val="auto"/>
                <w:sz w:val="15"/>
                <w:szCs w:val="15"/>
                <w:highlight w:val="none"/>
                <w:lang w:val="de-DE"/>
              </w:rPr>
              <w:t>0</w:t>
            </w:r>
          </w:p>
        </w:tc>
        <w:tc>
          <w:tcPr>
            <w:tcW w:w="1250" w:type="pct"/>
            <w:shd w:val="clear" w:color="auto" w:fill="auto"/>
            <w:noWrap w:val="0"/>
            <w:vAlign w:val="center"/>
          </w:tcPr>
          <w:p w14:paraId="207114A3">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de-DE" w:eastAsia="zh-CN" w:bidi="ar-SA"/>
              </w:rPr>
            </w:pPr>
            <w:r>
              <w:rPr>
                <w:rFonts w:hint="default" w:ascii="Times New Roman" w:hAnsi="Times New Roman" w:cs="Times New Roman"/>
                <w:color w:val="auto"/>
                <w:sz w:val="15"/>
                <w:szCs w:val="15"/>
                <w:highlight w:val="none"/>
                <w:lang w:val="en-US" w:eastAsia="zh-CN"/>
              </w:rPr>
              <w:t>6</w:t>
            </w:r>
            <w:r>
              <w:rPr>
                <w:rFonts w:hint="default" w:ascii="Times New Roman" w:hAnsi="Times New Roman" w:cs="Times New Roman"/>
                <w:color w:val="auto"/>
                <w:sz w:val="15"/>
                <w:szCs w:val="15"/>
                <w:highlight w:val="none"/>
                <w:lang w:val="de-DE"/>
              </w:rPr>
              <w:t>0</w:t>
            </w:r>
          </w:p>
        </w:tc>
        <w:tc>
          <w:tcPr>
            <w:tcW w:w="1250" w:type="pct"/>
            <w:shd w:val="clear" w:color="auto" w:fill="auto"/>
            <w:noWrap w:val="0"/>
            <w:vAlign w:val="center"/>
          </w:tcPr>
          <w:p w14:paraId="776118D4">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de-DE" w:eastAsia="zh-CN" w:bidi="ar-SA"/>
              </w:rPr>
            </w:pPr>
            <w:r>
              <w:rPr>
                <w:rFonts w:hint="default" w:ascii="Times New Roman" w:hAnsi="Times New Roman" w:cs="Times New Roman"/>
                <w:i/>
                <w:color w:val="auto"/>
                <w:sz w:val="15"/>
                <w:szCs w:val="15"/>
                <w:highlight w:val="none"/>
              </w:rPr>
              <w:sym w:font="Symbol" w:char="F049"/>
            </w:r>
            <w:r>
              <w:rPr>
                <w:rFonts w:hint="default" w:ascii="Times New Roman" w:hAnsi="Times New Roman" w:cs="Times New Roman"/>
                <w:color w:val="auto"/>
                <w:sz w:val="15"/>
                <w:szCs w:val="15"/>
                <w:highlight w:val="none"/>
              </w:rPr>
              <w:t xml:space="preserve"> </w:t>
            </w:r>
            <w:r>
              <w:rPr>
                <w:rFonts w:hint="default" w:ascii="Times New Roman" w:hAnsi="Times New Roman" w:cs="Times New Roman"/>
                <w:color w:val="auto"/>
                <w:sz w:val="15"/>
                <w:szCs w:val="15"/>
                <w:highlight w:val="none"/>
                <w:vertAlign w:val="subscript"/>
                <w:lang w:val="de-DE"/>
              </w:rPr>
              <w:t>0</w:t>
            </w:r>
            <w:r>
              <w:rPr>
                <w:rFonts w:hint="default" w:ascii="Times New Roman" w:hAnsi="Times New Roman" w:cs="Times New Roman"/>
                <w:color w:val="auto"/>
                <w:sz w:val="15"/>
                <w:szCs w:val="15"/>
                <w:highlight w:val="none"/>
                <w:lang w:val="de-DE"/>
              </w:rPr>
              <w:t xml:space="preserve"> ≥ </w:t>
            </w:r>
            <w:r>
              <w:rPr>
                <w:rFonts w:hint="default" w:ascii="Times New Roman" w:hAnsi="Times New Roman" w:cs="Times New Roman"/>
                <w:color w:val="auto"/>
                <w:sz w:val="15"/>
                <w:szCs w:val="15"/>
                <w:highlight w:val="none"/>
                <w:lang w:val="en-US" w:eastAsia="zh-CN"/>
              </w:rPr>
              <w:t>2</w:t>
            </w:r>
            <w:r>
              <w:rPr>
                <w:rFonts w:hint="default" w:ascii="Times New Roman" w:hAnsi="Times New Roman" w:cs="Times New Roman"/>
                <w:color w:val="auto"/>
                <w:sz w:val="15"/>
                <w:szCs w:val="15"/>
                <w:highlight w:val="none"/>
                <w:lang w:val="de-DE"/>
              </w:rPr>
              <w:t>0</w:t>
            </w:r>
          </w:p>
        </w:tc>
        <w:tc>
          <w:tcPr>
            <w:tcW w:w="1250" w:type="pct"/>
            <w:shd w:val="clear" w:color="auto" w:fill="auto"/>
            <w:noWrap w:val="0"/>
            <w:vAlign w:val="top"/>
          </w:tcPr>
          <w:p w14:paraId="534B7910">
            <w:pPr>
              <w:keepNext w:val="0"/>
              <w:keepLines w:val="0"/>
              <w:suppressLineNumbers w:val="0"/>
              <w:kinsoku/>
              <w:overflowPunct/>
              <w:topLinePunct/>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15"/>
                <w:szCs w:val="15"/>
                <w:highlight w:val="none"/>
                <w:lang w:val="en-US" w:eastAsia="zh-CN" w:bidi="ar-SA"/>
              </w:rPr>
            </w:pPr>
            <w:r>
              <w:rPr>
                <w:rFonts w:hint="default" w:ascii="Times New Roman" w:hAnsi="Times New Roman" w:cs="Times New Roman"/>
                <w:color w:val="auto"/>
                <w:sz w:val="15"/>
                <w:szCs w:val="15"/>
                <w:highlight w:val="none"/>
              </w:rPr>
              <w:t>24</w:t>
            </w:r>
          </w:p>
        </w:tc>
      </w:tr>
    </w:tbl>
    <w:p w14:paraId="5D86BE4D">
      <w:pPr>
        <w:kinsoku/>
        <w:overflowPunct/>
        <w:topLinePunct/>
        <w:bidi w:val="0"/>
        <w:adjustRightInd w:val="0"/>
        <w:spacing w:line="360" w:lineRule="auto"/>
        <w:ind w:firstLine="0" w:firstLineChars="0"/>
        <w:rPr>
          <w:rFonts w:ascii="Times New Roman" w:hAnsi="Times New Roman" w:cs="Times New Roman"/>
          <w:color w:val="auto"/>
          <w:highlight w:val="none"/>
        </w:rPr>
      </w:pPr>
    </w:p>
    <w:p w14:paraId="3EEE870E">
      <w:pPr>
        <w:keepNext w:val="0"/>
        <w:keepLines w:val="0"/>
        <w:pageBreakBefore w:val="0"/>
        <w:widowControl w:val="0"/>
        <w:kinsoku/>
        <w:wordWrap/>
        <w:overflowPunct/>
        <w:topLinePunct/>
        <w:bidi w:val="0"/>
        <w:adjustRightInd w:val="0"/>
        <w:snapToGrid w:val="0"/>
        <w:spacing w:line="360" w:lineRule="auto"/>
        <w:ind w:firstLine="422" w:firstLineChars="200"/>
        <w:textAlignment w:val="auto"/>
        <w:rPr>
          <w:rFonts w:ascii="Times New Roman" w:hAnsi="Times New Roman" w:cs="Times New Roman"/>
          <w:color w:val="auto"/>
          <w:szCs w:val="21"/>
          <w:highlight w:val="none"/>
        </w:rPr>
      </w:pPr>
      <w:r>
        <w:rPr>
          <w:rFonts w:ascii="Times New Roman" w:hAnsi="Times New Roman" w:eastAsia="黑体" w:cs="Times New Roman"/>
          <w:b/>
          <w:bCs/>
          <w:color w:val="auto"/>
          <w:szCs w:val="21"/>
          <w:highlight w:val="none"/>
        </w:rPr>
        <w:t>4</w:t>
      </w:r>
      <w:r>
        <w:rPr>
          <w:rFonts w:ascii="Times New Roman" w:hAnsi="Times New Roman" w:eastAsia="黑体" w:cs="Times New Roman"/>
          <w:color w:val="auto"/>
          <w:highlight w:val="none"/>
        </w:rPr>
        <w:t xml:space="preserve">  </w:t>
      </w:r>
      <w:r>
        <w:rPr>
          <w:rFonts w:ascii="Times New Roman" w:hAnsi="Times New Roman" w:cs="Times New Roman"/>
          <w:color w:val="auto"/>
          <w:szCs w:val="21"/>
          <w:highlight w:val="none"/>
        </w:rPr>
        <w:t>试验结束时，应测定阳极溶液的最终温度和最终电流。</w:t>
      </w:r>
    </w:p>
    <w:p w14:paraId="16E2B55B">
      <w:pPr>
        <w:keepNext w:val="0"/>
        <w:keepLines w:val="0"/>
        <w:pageBreakBefore w:val="0"/>
        <w:widowControl w:val="0"/>
        <w:kinsoku/>
        <w:wordWrap/>
        <w:overflowPunct/>
        <w:topLinePunct/>
        <w:bidi w:val="0"/>
        <w:adjustRightInd w:val="0"/>
        <w:snapToGrid w:val="0"/>
        <w:spacing w:line="360" w:lineRule="auto"/>
        <w:ind w:firstLine="422" w:firstLineChars="200"/>
        <w:textAlignment w:val="auto"/>
        <w:rPr>
          <w:rFonts w:ascii="Times New Roman" w:hAnsi="Times New Roman" w:cs="Times New Roman"/>
          <w:color w:val="auto"/>
          <w:szCs w:val="21"/>
          <w:highlight w:val="none"/>
        </w:rPr>
      </w:pPr>
      <w:r>
        <w:rPr>
          <w:rFonts w:ascii="Times New Roman" w:hAnsi="Times New Roman" w:eastAsia="黑体" w:cs="Times New Roman"/>
          <w:b/>
          <w:bCs/>
          <w:color w:val="auto"/>
          <w:szCs w:val="21"/>
          <w:highlight w:val="none"/>
        </w:rPr>
        <w:t>5</w:t>
      </w:r>
      <w:r>
        <w:rPr>
          <w:rFonts w:ascii="Times New Roman" w:hAnsi="Times New Roman" w:eastAsia="黑体" w:cs="Times New Roman"/>
          <w:color w:val="auto"/>
          <w:highlight w:val="none"/>
        </w:rPr>
        <w:t xml:space="preserve">  </w:t>
      </w:r>
      <w:r>
        <w:rPr>
          <w:rFonts w:ascii="Times New Roman" w:hAnsi="Times New Roman" w:cs="Times New Roman"/>
          <w:color w:val="auto"/>
          <w:highlight w:val="none"/>
        </w:rPr>
        <w:t>试验结束后应及时排</w:t>
      </w:r>
      <w:r>
        <w:rPr>
          <w:rFonts w:hint="default" w:ascii="Times New Roman" w:hAnsi="Times New Roman" w:cs="Times New Roman"/>
          <w:color w:val="auto"/>
          <w:highlight w:val="none"/>
          <w:lang w:val="en-US" w:eastAsia="zh-CN"/>
        </w:rPr>
        <w:t>出</w:t>
      </w:r>
      <w:r>
        <w:rPr>
          <w:rFonts w:ascii="Times New Roman" w:hAnsi="Times New Roman" w:cs="Times New Roman"/>
          <w:color w:val="auto"/>
          <w:highlight w:val="none"/>
        </w:rPr>
        <w:t>试验溶液。应用黄铜刷清除试验槽的结垢或沉淀物，并用饮用水和洗涤剂将试验槽和橡胶套冲洗干净，然后用电吹风的冷风档吹干。</w:t>
      </w:r>
    </w:p>
    <w:p w14:paraId="089D2D4E">
      <w:pPr>
        <w:pStyle w:val="18"/>
        <w:keepNext w:val="0"/>
        <w:keepLines w:val="0"/>
        <w:pageBreakBefore w:val="0"/>
        <w:widowControl w:val="0"/>
        <w:kinsoku/>
        <w:wordWrap/>
        <w:overflowPunct/>
        <w:topLinePunct/>
        <w:bidi w:val="0"/>
        <w:adjustRightInd w:val="0"/>
        <w:snapToGrid w:val="0"/>
        <w:spacing w:before="0" w:beforeLines="0" w:after="0" w:afterLines="0" w:line="360" w:lineRule="auto"/>
        <w:ind w:firstLine="0" w:firstLineChars="0"/>
        <w:textAlignment w:val="auto"/>
        <w:rPr>
          <w:rFonts w:ascii="Times New Roman" w:hAnsi="Times New Roman" w:cs="Times New Roman"/>
          <w:color w:val="auto"/>
          <w:highlight w:val="none"/>
        </w:rPr>
      </w:pPr>
      <w:r>
        <w:rPr>
          <w:rFonts w:hint="default" w:ascii="Times New Roman" w:hAnsi="Times New Roman" w:eastAsia="黑体" w:cs="Times New Roman"/>
          <w:b/>
          <w:bCs/>
          <w:color w:val="auto"/>
          <w:highlight w:val="none"/>
          <w:lang w:eastAsia="zh-CN"/>
        </w:rPr>
        <w:t>7.</w:t>
      </w:r>
      <w:r>
        <w:rPr>
          <w:rFonts w:hint="eastAsia" w:eastAsia="黑体" w:cs="Times New Roman"/>
          <w:b/>
          <w:bCs/>
          <w:color w:val="auto"/>
          <w:highlight w:val="none"/>
          <w:lang w:val="en-US" w:eastAsia="zh-CN"/>
        </w:rPr>
        <w:t>5</w:t>
      </w:r>
      <w:r>
        <w:rPr>
          <w:rFonts w:ascii="Times New Roman" w:hAnsi="Times New Roman" w:eastAsia="黑体" w:cs="Times New Roman"/>
          <w:b/>
          <w:bCs/>
          <w:color w:val="auto"/>
          <w:highlight w:val="none"/>
        </w:rPr>
        <w:t>.7</w:t>
      </w:r>
      <w:r>
        <w:rPr>
          <w:rFonts w:ascii="Times New Roman" w:hAnsi="Times New Roman" w:cs="Times New Roman"/>
          <w:color w:val="auto"/>
          <w:highlight w:val="none"/>
        </w:rPr>
        <w:t xml:space="preserve">  氯离子渗透深度测定应按下列步骤进行：</w:t>
      </w:r>
    </w:p>
    <w:p w14:paraId="1011EECB">
      <w:pPr>
        <w:pStyle w:val="18"/>
        <w:keepNext w:val="0"/>
        <w:keepLines w:val="0"/>
        <w:pageBreakBefore w:val="0"/>
        <w:widowControl w:val="0"/>
        <w:kinsoku/>
        <w:wordWrap/>
        <w:overflowPunct/>
        <w:topLinePunct/>
        <w:bidi w:val="0"/>
        <w:adjustRightInd w:val="0"/>
        <w:snapToGrid w:val="0"/>
        <w:spacing w:before="0" w:beforeLines="0" w:after="0" w:afterLines="0" w:line="360" w:lineRule="auto"/>
        <w:ind w:firstLine="422"/>
        <w:textAlignment w:val="auto"/>
        <w:rPr>
          <w:rFonts w:ascii="Times New Roman" w:hAnsi="Times New Roman" w:cs="Times New Roman"/>
          <w:color w:val="auto"/>
          <w:highlight w:val="none"/>
        </w:rPr>
      </w:pPr>
      <w:r>
        <w:rPr>
          <w:rFonts w:ascii="Times New Roman" w:hAnsi="Times New Roman" w:eastAsia="黑体" w:cs="Times New Roman"/>
          <w:b/>
          <w:bCs/>
          <w:color w:val="auto"/>
          <w:highlight w:val="none"/>
        </w:rPr>
        <w:t>1</w:t>
      </w:r>
      <w:r>
        <w:rPr>
          <w:rFonts w:ascii="Times New Roman" w:hAnsi="Times New Roman" w:eastAsia="黑体" w:cs="Times New Roman"/>
          <w:color w:val="auto"/>
          <w:highlight w:val="none"/>
        </w:rPr>
        <w:t xml:space="preserve">  </w:t>
      </w:r>
      <w:r>
        <w:rPr>
          <w:rFonts w:ascii="Times New Roman" w:hAnsi="Times New Roman" w:cs="Times New Roman"/>
          <w:color w:val="auto"/>
          <w:highlight w:val="none"/>
        </w:rPr>
        <w:t>试验结束后，应及时断开电源。</w:t>
      </w:r>
    </w:p>
    <w:p w14:paraId="2CA8C571">
      <w:pPr>
        <w:pStyle w:val="18"/>
        <w:keepNext w:val="0"/>
        <w:keepLines w:val="0"/>
        <w:pageBreakBefore w:val="0"/>
        <w:widowControl w:val="0"/>
        <w:kinsoku/>
        <w:wordWrap/>
        <w:overflowPunct/>
        <w:topLinePunct/>
        <w:bidi w:val="0"/>
        <w:adjustRightInd w:val="0"/>
        <w:snapToGrid w:val="0"/>
        <w:spacing w:before="0" w:beforeLines="0" w:after="0" w:afterLines="0" w:line="360" w:lineRule="auto"/>
        <w:ind w:firstLine="422"/>
        <w:textAlignment w:val="auto"/>
        <w:rPr>
          <w:rFonts w:ascii="Times New Roman" w:hAnsi="Times New Roman" w:cs="Times New Roman"/>
          <w:color w:val="auto"/>
          <w:highlight w:val="none"/>
        </w:rPr>
      </w:pPr>
      <w:r>
        <w:rPr>
          <w:rFonts w:ascii="Times New Roman" w:hAnsi="Times New Roman" w:eastAsia="黑体" w:cs="Times New Roman"/>
          <w:b/>
          <w:bCs/>
          <w:color w:val="auto"/>
          <w:highlight w:val="none"/>
        </w:rPr>
        <w:t>2</w:t>
      </w:r>
      <w:r>
        <w:rPr>
          <w:rFonts w:ascii="Times New Roman" w:hAnsi="Times New Roman" w:eastAsia="黑体" w:cs="Times New Roman"/>
          <w:color w:val="auto"/>
          <w:highlight w:val="none"/>
        </w:rPr>
        <w:t xml:space="preserve">  </w:t>
      </w:r>
      <w:r>
        <w:rPr>
          <w:rFonts w:ascii="Times New Roman" w:hAnsi="Times New Roman" w:cs="Times New Roman"/>
          <w:color w:val="auto"/>
          <w:highlight w:val="none"/>
        </w:rPr>
        <w:t>断开电源后，应将试件从橡胶套中取出，并立即用自来水将试件表面冲洗干净，然后擦去试件表面多余水分。</w:t>
      </w:r>
    </w:p>
    <w:p w14:paraId="42242C90">
      <w:pPr>
        <w:pStyle w:val="18"/>
        <w:keepNext w:val="0"/>
        <w:keepLines w:val="0"/>
        <w:pageBreakBefore w:val="0"/>
        <w:widowControl w:val="0"/>
        <w:kinsoku/>
        <w:wordWrap/>
        <w:overflowPunct/>
        <w:topLinePunct/>
        <w:bidi w:val="0"/>
        <w:adjustRightInd w:val="0"/>
        <w:snapToGrid w:val="0"/>
        <w:spacing w:before="0" w:beforeLines="0" w:after="0" w:afterLines="0" w:line="360" w:lineRule="auto"/>
        <w:ind w:firstLine="422"/>
        <w:textAlignment w:val="auto"/>
        <w:rPr>
          <w:rFonts w:ascii="Times New Roman" w:hAnsi="Times New Roman" w:cs="Times New Roman"/>
          <w:color w:val="auto"/>
          <w:highlight w:val="none"/>
        </w:rPr>
      </w:pPr>
      <w:r>
        <w:rPr>
          <w:rFonts w:ascii="Times New Roman" w:hAnsi="Times New Roman" w:eastAsia="黑体" w:cs="Times New Roman"/>
          <w:b/>
          <w:bCs/>
          <w:color w:val="auto"/>
          <w:highlight w:val="none"/>
        </w:rPr>
        <w:t>3</w:t>
      </w:r>
      <w:r>
        <w:rPr>
          <w:rFonts w:ascii="Times New Roman" w:hAnsi="Times New Roman" w:eastAsia="黑体" w:cs="Times New Roman"/>
          <w:color w:val="auto"/>
          <w:highlight w:val="none"/>
        </w:rPr>
        <w:t xml:space="preserve">  </w:t>
      </w:r>
      <w:r>
        <w:rPr>
          <w:rFonts w:ascii="Times New Roman" w:hAnsi="Times New Roman" w:cs="Times New Roman"/>
          <w:color w:val="auto"/>
          <w:highlight w:val="none"/>
        </w:rPr>
        <w:t>试件表面冲洗干净后，应在压力试验机上沿轴向劈成两个半圆柱体，并在劈开的试件表面立即喷涂浓度为0.1 mol/L的 AgNO</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溶液显色指示剂。</w:t>
      </w:r>
    </w:p>
    <w:p w14:paraId="40A24B1F">
      <w:pPr>
        <w:pStyle w:val="18"/>
        <w:keepNext w:val="0"/>
        <w:keepLines w:val="0"/>
        <w:pageBreakBefore w:val="0"/>
        <w:widowControl w:val="0"/>
        <w:kinsoku/>
        <w:wordWrap/>
        <w:overflowPunct/>
        <w:topLinePunct/>
        <w:bidi w:val="0"/>
        <w:adjustRightInd w:val="0"/>
        <w:snapToGrid w:val="0"/>
        <w:spacing w:before="0" w:beforeLines="0" w:after="0" w:afterLines="0" w:line="360" w:lineRule="auto"/>
        <w:ind w:firstLine="422"/>
        <w:textAlignment w:val="auto"/>
        <w:rPr>
          <w:rFonts w:ascii="Times New Roman" w:hAnsi="Times New Roman" w:cs="Times New Roman"/>
          <w:color w:val="auto"/>
          <w:highlight w:val="none"/>
        </w:rPr>
      </w:pPr>
      <w:r>
        <w:rPr>
          <w:rFonts w:ascii="Times New Roman" w:hAnsi="Times New Roman" w:eastAsia="黑体" w:cs="Times New Roman"/>
          <w:b/>
          <w:bCs/>
          <w:color w:val="auto"/>
          <w:highlight w:val="none"/>
        </w:rPr>
        <w:t>4</w:t>
      </w:r>
      <w:r>
        <w:rPr>
          <w:rFonts w:ascii="Times New Roman" w:hAnsi="Times New Roman" w:eastAsia="黑体" w:cs="Times New Roman"/>
          <w:color w:val="auto"/>
          <w:highlight w:val="none"/>
        </w:rPr>
        <w:t xml:space="preserve">  </w:t>
      </w:r>
      <w:r>
        <w:rPr>
          <w:rFonts w:ascii="Times New Roman" w:hAnsi="Times New Roman" w:cs="Times New Roman"/>
          <w:color w:val="auto"/>
          <w:highlight w:val="none"/>
        </w:rPr>
        <w:t>指示剂喷洒约15min后，应沿试件直径断面将其分成10等</w:t>
      </w:r>
      <w:r>
        <w:rPr>
          <w:rFonts w:hint="default" w:ascii="Times New Roman" w:hAnsi="Times New Roman" w:cs="Times New Roman"/>
          <w:color w:val="auto"/>
          <w:highlight w:val="none"/>
          <w:lang w:val="en-US" w:eastAsia="zh-CN"/>
        </w:rPr>
        <w:t>分</w:t>
      </w:r>
      <w:r>
        <w:rPr>
          <w:rFonts w:ascii="Times New Roman" w:hAnsi="Times New Roman" w:cs="Times New Roman"/>
          <w:color w:val="auto"/>
          <w:highlight w:val="none"/>
        </w:rPr>
        <w:t>，并用防水笔描出渗透轮廓线。</w:t>
      </w:r>
    </w:p>
    <w:p w14:paraId="6E8A6D4D">
      <w:pPr>
        <w:pStyle w:val="18"/>
        <w:keepNext w:val="0"/>
        <w:keepLines w:val="0"/>
        <w:pageBreakBefore w:val="0"/>
        <w:widowControl w:val="0"/>
        <w:kinsoku/>
        <w:wordWrap/>
        <w:overflowPunct/>
        <w:topLinePunct/>
        <w:bidi w:val="0"/>
        <w:adjustRightInd w:val="0"/>
        <w:snapToGrid w:val="0"/>
        <w:spacing w:before="0" w:beforeLines="0" w:after="0" w:afterLines="0" w:line="360" w:lineRule="auto"/>
        <w:ind w:firstLine="422"/>
        <w:textAlignment w:val="auto"/>
        <w:rPr>
          <w:rFonts w:ascii="Times New Roman" w:hAnsi="Times New Roman" w:cs="Times New Roman"/>
          <w:color w:val="auto"/>
          <w:highlight w:val="none"/>
        </w:rPr>
      </w:pPr>
      <w:r>
        <w:rPr>
          <w:rFonts w:ascii="Times New Roman" w:hAnsi="Times New Roman" w:eastAsia="黑体" w:cs="Times New Roman"/>
          <w:b/>
          <w:bCs/>
          <w:color w:val="auto"/>
          <w:highlight w:val="none"/>
        </w:rPr>
        <w:t>5</w:t>
      </w:r>
      <w:r>
        <w:rPr>
          <w:rFonts w:ascii="Times New Roman" w:hAnsi="Times New Roman" w:eastAsia="黑体" w:cs="Times New Roman"/>
          <w:color w:val="auto"/>
          <w:highlight w:val="none"/>
        </w:rPr>
        <w:t xml:space="preserve">  </w:t>
      </w:r>
      <w:r>
        <w:rPr>
          <w:rFonts w:ascii="Times New Roman" w:hAnsi="Times New Roman" w:cs="Times New Roman"/>
          <w:color w:val="auto"/>
          <w:highlight w:val="none"/>
        </w:rPr>
        <w:t>应根据观察到的明显颜色变化，测量显色分界线（图</w:t>
      </w:r>
      <w:r>
        <w:rPr>
          <w:rFonts w:hint="default" w:ascii="Times New Roman" w:hAnsi="Times New Roman" w:cs="Times New Roman"/>
          <w:color w:val="auto"/>
          <w:highlight w:val="none"/>
          <w:lang w:eastAsia="zh-CN"/>
        </w:rPr>
        <w:t>7.4</w:t>
      </w:r>
      <w:r>
        <w:rPr>
          <w:rFonts w:ascii="Times New Roman" w:hAnsi="Times New Roman" w:cs="Times New Roman"/>
          <w:color w:val="auto"/>
          <w:highlight w:val="none"/>
        </w:rPr>
        <w:t>.7）离试件底面的距离，精确至0.1mm。</w:t>
      </w:r>
    </w:p>
    <w:p w14:paraId="7FA969FC">
      <w:pPr>
        <w:keepNext w:val="0"/>
        <w:keepLines w:val="0"/>
        <w:pageBreakBefore w:val="0"/>
        <w:widowControl w:val="0"/>
        <w:kinsoku/>
        <w:wordWrap/>
        <w:overflowPunct/>
        <w:autoSpaceDE w:val="0"/>
        <w:autoSpaceDN w:val="0"/>
        <w:bidi w:val="0"/>
        <w:adjustRightInd w:val="0"/>
        <w:snapToGrid w:val="0"/>
        <w:spacing w:line="360" w:lineRule="auto"/>
        <w:ind w:firstLine="422" w:firstLineChars="200"/>
        <w:textAlignment w:val="auto"/>
        <w:rPr>
          <w:rFonts w:ascii="Times New Roman" w:hAnsi="Times New Roman" w:cs="Times New Roman"/>
          <w:color w:val="auto"/>
          <w:szCs w:val="21"/>
          <w:highlight w:val="none"/>
        </w:rPr>
      </w:pPr>
      <w:r>
        <w:rPr>
          <w:rFonts w:ascii="Times New Roman" w:hAnsi="Times New Roman" w:eastAsia="黑体" w:cs="Times New Roman"/>
          <w:b/>
          <w:bCs/>
          <w:color w:val="auto"/>
          <w:szCs w:val="21"/>
          <w:highlight w:val="none"/>
        </w:rPr>
        <w:t>6</w:t>
      </w:r>
      <w:r>
        <w:rPr>
          <w:rFonts w:ascii="Times New Roman" w:hAnsi="Times New Roman" w:eastAsia="黑体" w:cs="Times New Roman"/>
          <w:color w:val="auto"/>
          <w:highlight w:val="none"/>
        </w:rPr>
        <w:t xml:space="preserve">  </w:t>
      </w:r>
      <w:r>
        <w:rPr>
          <w:rFonts w:ascii="Times New Roman" w:hAnsi="Times New Roman" w:cs="Times New Roman"/>
          <w:color w:val="auto"/>
          <w:szCs w:val="21"/>
          <w:highlight w:val="none"/>
        </w:rPr>
        <w:t>当某一测点被骨料阻挡时，可将此测点位置移动到最近</w:t>
      </w:r>
      <w:r>
        <w:rPr>
          <w:rFonts w:hint="default" w:ascii="Times New Roman" w:hAnsi="Times New Roman" w:cs="Times New Roman"/>
          <w:color w:val="auto"/>
          <w:szCs w:val="21"/>
          <w:highlight w:val="none"/>
          <w:lang w:val="en-US" w:eastAsia="zh-CN"/>
        </w:rPr>
        <w:t>一个</w:t>
      </w:r>
      <w:r>
        <w:rPr>
          <w:rFonts w:ascii="Times New Roman" w:hAnsi="Times New Roman" w:cs="Times New Roman"/>
          <w:color w:val="auto"/>
          <w:szCs w:val="21"/>
          <w:highlight w:val="none"/>
        </w:rPr>
        <w:t>未被骨料阻挡的位置进行测量，当某测点数据</w:t>
      </w:r>
      <w:r>
        <w:rPr>
          <w:rFonts w:hint="default" w:ascii="Times New Roman" w:hAnsi="Times New Roman" w:cs="Times New Roman"/>
          <w:color w:val="auto"/>
          <w:szCs w:val="21"/>
          <w:highlight w:val="none"/>
          <w:lang w:val="en-US" w:eastAsia="zh-CN"/>
        </w:rPr>
        <w:t>无法测得</w:t>
      </w:r>
      <w:r>
        <w:rPr>
          <w:rFonts w:ascii="Times New Roman" w:hAnsi="Times New Roman" w:cs="Times New Roman"/>
          <w:color w:val="auto"/>
          <w:szCs w:val="21"/>
          <w:highlight w:val="none"/>
        </w:rPr>
        <w:t>时，</w:t>
      </w:r>
      <w:r>
        <w:rPr>
          <w:rFonts w:hint="default" w:ascii="Times New Roman" w:hAnsi="Times New Roman" w:cs="Times New Roman"/>
          <w:color w:val="auto"/>
          <w:szCs w:val="21"/>
          <w:highlight w:val="none"/>
        </w:rPr>
        <w:t>若</w:t>
      </w:r>
      <w:r>
        <w:rPr>
          <w:rFonts w:ascii="Times New Roman" w:hAnsi="Times New Roman" w:cs="Times New Roman"/>
          <w:color w:val="auto"/>
          <w:szCs w:val="21"/>
          <w:highlight w:val="none"/>
        </w:rPr>
        <w:t>总测点数</w:t>
      </w:r>
      <w:r>
        <w:rPr>
          <w:rFonts w:hint="default" w:ascii="Times New Roman" w:hAnsi="Times New Roman" w:cs="Times New Roman"/>
          <w:color w:val="auto"/>
          <w:szCs w:val="21"/>
          <w:highlight w:val="none"/>
        </w:rPr>
        <w:t>大</w:t>
      </w:r>
      <w:r>
        <w:rPr>
          <w:rFonts w:ascii="Times New Roman" w:hAnsi="Times New Roman" w:cs="Times New Roman"/>
          <w:color w:val="auto"/>
          <w:szCs w:val="21"/>
          <w:highlight w:val="none"/>
        </w:rPr>
        <w:t>于5个，可忽略此测点。</w:t>
      </w:r>
    </w:p>
    <w:p w14:paraId="4CD49A86">
      <w:pPr>
        <w:pStyle w:val="18"/>
        <w:keepNext w:val="0"/>
        <w:keepLines w:val="0"/>
        <w:pageBreakBefore w:val="0"/>
        <w:widowControl w:val="0"/>
        <w:kinsoku/>
        <w:wordWrap/>
        <w:overflowPunct/>
        <w:topLinePunct/>
        <w:bidi w:val="0"/>
        <w:adjustRightInd w:val="0"/>
        <w:snapToGrid w:val="0"/>
        <w:spacing w:before="0" w:beforeLines="0" w:after="0" w:afterLines="0" w:line="360" w:lineRule="auto"/>
        <w:ind w:firstLine="422"/>
        <w:textAlignment w:val="auto"/>
        <w:rPr>
          <w:rFonts w:ascii="Times New Roman" w:hAnsi="Times New Roman" w:cs="Times New Roman"/>
          <w:color w:val="auto"/>
          <w:highlight w:val="none"/>
        </w:rPr>
      </w:pPr>
      <w:r>
        <w:rPr>
          <w:rFonts w:ascii="Times New Roman" w:hAnsi="Times New Roman" w:eastAsia="黑体" w:cs="Times New Roman"/>
          <w:b/>
          <w:bCs/>
          <w:color w:val="auto"/>
          <w:highlight w:val="none"/>
        </w:rPr>
        <w:t xml:space="preserve">7 </w:t>
      </w:r>
      <w:r>
        <w:rPr>
          <w:rFonts w:ascii="Times New Roman" w:hAnsi="Times New Roman" w:eastAsia="黑体" w:cs="Times New Roman"/>
          <w:color w:val="auto"/>
          <w:highlight w:val="none"/>
        </w:rPr>
        <w:t xml:space="preserve"> </w:t>
      </w:r>
      <w:r>
        <w:rPr>
          <w:rFonts w:ascii="Times New Roman" w:hAnsi="Times New Roman" w:cs="Times New Roman"/>
          <w:color w:val="auto"/>
          <w:highlight w:val="none"/>
        </w:rPr>
        <w:t>当某测点位置有一个明显的缺陷，使该点测量值远大于各测点的平均值，可忽略此测点数据，但应在试验记录和报告中注明。</w:t>
      </w:r>
    </w:p>
    <w:p w14:paraId="1D804943">
      <w:pPr>
        <w:kinsoku/>
        <w:overflowPunct/>
        <w:bidi w:val="0"/>
        <w:adjustRightInd w:val="0"/>
        <w:snapToGrid w:val="0"/>
        <w:spacing w:line="360" w:lineRule="auto"/>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4275455" cy="2265680"/>
            <wp:effectExtent l="0" t="0" r="0" b="0"/>
            <wp:docPr id="32" name="图片 55" descr="1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5" descr="11x"/>
                    <pic:cNvPicPr>
                      <a:picLocks noChangeAspect="1"/>
                    </pic:cNvPicPr>
                  </pic:nvPicPr>
                  <pic:blipFill>
                    <a:blip r:embed="rId263"/>
                    <a:stretch>
                      <a:fillRect/>
                    </a:stretch>
                  </pic:blipFill>
                  <pic:spPr>
                    <a:xfrm>
                      <a:off x="0" y="0"/>
                      <a:ext cx="4275455" cy="2265680"/>
                    </a:xfrm>
                    <a:prstGeom prst="rect">
                      <a:avLst/>
                    </a:prstGeom>
                    <a:noFill/>
                    <a:ln>
                      <a:noFill/>
                    </a:ln>
                  </pic:spPr>
                </pic:pic>
              </a:graphicData>
            </a:graphic>
          </wp:inline>
        </w:drawing>
      </w:r>
    </w:p>
    <w:p w14:paraId="22FEE3C2">
      <w:pPr>
        <w:kinsoku/>
        <w:overflowPunct/>
        <w:topLinePunct/>
        <w:bidi w:val="0"/>
        <w:adjustRightInd w:val="0"/>
        <w:snapToGrid w:val="0"/>
        <w:spacing w:line="360" w:lineRule="auto"/>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 xml:space="preserve">图 </w:t>
      </w:r>
      <w:r>
        <w:rPr>
          <w:rFonts w:hint="default" w:ascii="Times New Roman" w:hAnsi="Times New Roman" w:cs="Times New Roman"/>
          <w:color w:val="auto"/>
          <w:kern w:val="0"/>
          <w:sz w:val="18"/>
          <w:szCs w:val="18"/>
          <w:highlight w:val="none"/>
          <w:lang w:eastAsia="zh-CN"/>
        </w:rPr>
        <w:t>7.4</w:t>
      </w:r>
      <w:r>
        <w:rPr>
          <w:rFonts w:ascii="Times New Roman" w:hAnsi="Times New Roman" w:cs="Times New Roman"/>
          <w:color w:val="auto"/>
          <w:kern w:val="0"/>
          <w:sz w:val="18"/>
          <w:szCs w:val="18"/>
          <w:highlight w:val="none"/>
        </w:rPr>
        <w:t>.7   显色分界线位置编号</w:t>
      </w:r>
    </w:p>
    <w:p w14:paraId="125EA895">
      <w:pPr>
        <w:kinsoku/>
        <w:overflowPunct/>
        <w:topLinePunct/>
        <w:bidi w:val="0"/>
        <w:adjustRightInd w:val="0"/>
        <w:snapToGrid w:val="0"/>
        <w:spacing w:line="360" w:lineRule="auto"/>
        <w:ind w:firstLine="300" w:firstLineChars="200"/>
        <w:jc w:val="center"/>
        <w:rPr>
          <w:rFonts w:ascii="Times New Roman" w:hAnsi="Times New Roman" w:cs="Times New Roman"/>
          <w:color w:val="auto"/>
          <w:szCs w:val="21"/>
          <w:highlight w:val="none"/>
        </w:rPr>
      </w:pPr>
      <w:r>
        <w:rPr>
          <w:rFonts w:ascii="Times New Roman" w:hAnsi="Times New Roman" w:cs="Times New Roman"/>
          <w:color w:val="auto"/>
          <w:kern w:val="0"/>
          <w:sz w:val="15"/>
          <w:szCs w:val="15"/>
          <w:highlight w:val="none"/>
        </w:rPr>
        <w:t>1—试件边缘部分；2—尺子；</w:t>
      </w:r>
      <w:r>
        <w:rPr>
          <w:rFonts w:ascii="Times New Roman" w:hAnsi="Times New Roman" w:cs="Times New Roman"/>
          <w:i/>
          <w:iCs/>
          <w:color w:val="auto"/>
          <w:kern w:val="0"/>
          <w:sz w:val="15"/>
          <w:szCs w:val="15"/>
          <w:highlight w:val="none"/>
        </w:rPr>
        <w:t>A</w:t>
      </w:r>
      <w:r>
        <w:rPr>
          <w:rFonts w:ascii="Times New Roman" w:hAnsi="Times New Roman" w:cs="Times New Roman"/>
          <w:color w:val="auto"/>
          <w:kern w:val="0"/>
          <w:sz w:val="15"/>
          <w:szCs w:val="15"/>
          <w:highlight w:val="none"/>
        </w:rPr>
        <w:t>—测量范围</w:t>
      </w:r>
      <w:r>
        <w:rPr>
          <w:rFonts w:hint="default" w:ascii="Times New Roman" w:hAnsi="Times New Roman" w:cs="Times New Roman"/>
          <w:color w:val="auto"/>
          <w:kern w:val="0"/>
          <w:sz w:val="15"/>
          <w:szCs w:val="15"/>
          <w:highlight w:val="none"/>
        </w:rPr>
        <w:t>；</w:t>
      </w:r>
      <w:r>
        <w:rPr>
          <w:rFonts w:ascii="Times New Roman" w:hAnsi="Times New Roman" w:cs="Times New Roman"/>
          <w:i/>
          <w:iCs/>
          <w:color w:val="auto"/>
          <w:kern w:val="0"/>
          <w:sz w:val="15"/>
          <w:szCs w:val="15"/>
          <w:highlight w:val="none"/>
        </w:rPr>
        <w:t>L</w:t>
      </w:r>
      <w:r>
        <w:rPr>
          <w:rFonts w:ascii="Times New Roman" w:hAnsi="Times New Roman" w:cs="Times New Roman"/>
          <w:color w:val="auto"/>
          <w:kern w:val="0"/>
          <w:sz w:val="15"/>
          <w:szCs w:val="15"/>
          <w:highlight w:val="none"/>
        </w:rPr>
        <w:t>—</w:t>
      </w:r>
      <w:r>
        <w:rPr>
          <w:rFonts w:hint="default" w:ascii="Times New Roman" w:hAnsi="Times New Roman" w:cs="Times New Roman"/>
          <w:color w:val="auto"/>
          <w:kern w:val="0"/>
          <w:sz w:val="15"/>
          <w:szCs w:val="15"/>
          <w:highlight w:val="none"/>
        </w:rPr>
        <w:t>试件高度</w:t>
      </w:r>
    </w:p>
    <w:p w14:paraId="571B7EDC">
      <w:pPr>
        <w:keepNext w:val="0"/>
        <w:keepLines w:val="0"/>
        <w:pageBreakBefore w:val="0"/>
        <w:widowControl w:val="0"/>
        <w:kinsoku/>
        <w:wordWrap/>
        <w:overflowPunct/>
        <w:topLinePunct/>
        <w:autoSpaceDE/>
        <w:autoSpaceDN/>
        <w:bidi w:val="0"/>
        <w:adjustRightInd w:val="0"/>
        <w:snapToGrid w:val="0"/>
        <w:spacing w:line="360" w:lineRule="auto"/>
        <w:textAlignment w:val="auto"/>
        <w:rPr>
          <w:rFonts w:ascii="Times New Roman" w:hAnsi="Times New Roman" w:eastAsia="黑体" w:cs="Times New Roman"/>
          <w:b/>
          <w:bCs/>
          <w:color w:val="auto"/>
          <w:highlight w:val="none"/>
        </w:rPr>
      </w:pPr>
      <w:r>
        <w:rPr>
          <w:rFonts w:hint="default" w:ascii="Times New Roman" w:hAnsi="Times New Roman" w:eastAsia="黑体" w:cs="Times New Roman"/>
          <w:b/>
          <w:bCs/>
          <w:color w:val="auto"/>
          <w:szCs w:val="21"/>
          <w:highlight w:val="none"/>
          <w:lang w:eastAsia="zh-CN"/>
        </w:rPr>
        <w:t>7.</w:t>
      </w:r>
      <w:r>
        <w:rPr>
          <w:rFonts w:hint="eastAsia" w:eastAsia="黑体" w:cs="Times New Roman"/>
          <w:b/>
          <w:bCs/>
          <w:color w:val="auto"/>
          <w:szCs w:val="21"/>
          <w:highlight w:val="none"/>
          <w:lang w:val="en-US" w:eastAsia="zh-CN"/>
        </w:rPr>
        <w:t>5</w:t>
      </w:r>
      <w:r>
        <w:rPr>
          <w:rFonts w:ascii="Times New Roman" w:hAnsi="Times New Roman" w:eastAsia="黑体" w:cs="Times New Roman"/>
          <w:b/>
          <w:bCs/>
          <w:color w:val="auto"/>
          <w:szCs w:val="21"/>
          <w:highlight w:val="none"/>
        </w:rPr>
        <w:t>.8</w:t>
      </w:r>
      <w:r>
        <w:rPr>
          <w:rFonts w:ascii="Times New Roman" w:hAnsi="Times New Roman" w:eastAsia="黑体" w:cs="Times New Roman"/>
          <w:b/>
          <w:bCs/>
          <w:color w:val="auto"/>
          <w:highlight w:val="none"/>
        </w:rPr>
        <w:t xml:space="preserve">  </w:t>
      </w:r>
      <w:r>
        <w:rPr>
          <w:rFonts w:ascii="Times New Roman" w:hAnsi="Times New Roman" w:cs="Times New Roman"/>
          <w:bCs/>
          <w:color w:val="auto"/>
          <w:highlight w:val="none"/>
        </w:rPr>
        <w:t>试验结果计算及处理应符合下列规定：</w:t>
      </w:r>
    </w:p>
    <w:p w14:paraId="1E848ED9">
      <w:pPr>
        <w:keepNext w:val="0"/>
        <w:keepLines w:val="0"/>
        <w:pageBreakBefore w:val="0"/>
        <w:widowControl w:val="0"/>
        <w:kinsoku/>
        <w:wordWrap/>
        <w:overflowPunct/>
        <w:topLinePunct/>
        <w:autoSpaceDE/>
        <w:autoSpaceDN/>
        <w:bidi w:val="0"/>
        <w:adjustRightInd w:val="0"/>
        <w:snapToGrid w:val="0"/>
        <w:spacing w:before="97" w:line="360" w:lineRule="auto"/>
        <w:ind w:firstLine="422" w:firstLineChars="200"/>
        <w:textAlignment w:val="auto"/>
        <w:rPr>
          <w:rFonts w:ascii="Times New Roman" w:hAnsi="Times New Roman" w:cs="Times New Roman"/>
          <w:color w:val="auto"/>
          <w:highlight w:val="none"/>
        </w:rPr>
      </w:pPr>
      <w:r>
        <w:rPr>
          <w:rFonts w:ascii="Times New Roman" w:hAnsi="Times New Roman" w:eastAsia="黑体" w:cs="Times New Roman"/>
          <w:b/>
          <w:bCs/>
          <w:color w:val="auto"/>
          <w:szCs w:val="21"/>
          <w:highlight w:val="none"/>
        </w:rPr>
        <w:t>1</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的非稳态氯离子迁移系数应按下式计算：</w:t>
      </w:r>
    </w:p>
    <w:tbl>
      <w:tblPr>
        <w:tblStyle w:val="38"/>
        <w:tblW w:w="5000" w:type="pct"/>
        <w:jc w:val="center"/>
        <w:tblLayout w:type="fixed"/>
        <w:tblCellMar>
          <w:top w:w="0" w:type="dxa"/>
          <w:left w:w="0" w:type="dxa"/>
          <w:bottom w:w="0" w:type="dxa"/>
          <w:right w:w="0" w:type="dxa"/>
        </w:tblCellMar>
      </w:tblPr>
      <w:tblGrid>
        <w:gridCol w:w="1184"/>
        <w:gridCol w:w="6397"/>
        <w:gridCol w:w="1774"/>
      </w:tblGrid>
      <w:tr w14:paraId="0CCCFADE">
        <w:tblPrEx>
          <w:tblCellMar>
            <w:top w:w="0" w:type="dxa"/>
            <w:left w:w="0" w:type="dxa"/>
            <w:bottom w:w="0" w:type="dxa"/>
            <w:right w:w="0" w:type="dxa"/>
          </w:tblCellMar>
        </w:tblPrEx>
        <w:trPr>
          <w:trHeight w:val="420" w:hRule="atLeast"/>
          <w:jc w:val="center"/>
        </w:trPr>
        <w:tc>
          <w:tcPr>
            <w:tcW w:w="1051" w:type="dxa"/>
            <w:noWrap/>
            <w:vAlign w:val="center"/>
          </w:tcPr>
          <w:p w14:paraId="2D621867">
            <w:pPr>
              <w:pStyle w:val="124"/>
              <w:keepNext w:val="0"/>
              <w:keepLines w:val="0"/>
              <w:suppressLineNumbers w:val="0"/>
              <w:kinsoku/>
              <w:overflowPunct/>
              <w:topLinePunct/>
              <w:bidi w:val="0"/>
              <w:spacing w:before="120" w:beforeAutospacing="0" w:after="120" w:afterAutospacing="0" w:line="360" w:lineRule="auto"/>
              <w:ind w:left="0" w:right="0" w:firstLine="0"/>
              <w:jc w:val="center"/>
              <w:rPr>
                <w:rFonts w:hint="default" w:ascii="Times New Roman" w:hAnsi="Times New Roman" w:cs="Times New Roman"/>
                <w:color w:val="auto"/>
                <w:szCs w:val="24"/>
                <w:highlight w:val="none"/>
              </w:rPr>
            </w:pPr>
          </w:p>
        </w:tc>
        <w:tc>
          <w:tcPr>
            <w:tcW w:w="5680" w:type="dxa"/>
            <w:noWrap/>
            <w:vAlign w:val="center"/>
          </w:tcPr>
          <w:p w14:paraId="75F2801C">
            <w:pPr>
              <w:pStyle w:val="124"/>
              <w:keepNext w:val="0"/>
              <w:keepLines w:val="0"/>
              <w:suppressLineNumbers w:val="0"/>
              <w:kinsoku/>
              <w:overflowPunct/>
              <w:topLinePunct/>
              <w:bidi w:val="0"/>
              <w:spacing w:before="0" w:beforeAutospacing="0" w:after="0" w:afterAutospacing="0" w:line="360" w:lineRule="auto"/>
              <w:ind w:left="0" w:right="0" w:firstLine="0"/>
              <w:jc w:val="center"/>
              <w:rPr>
                <w:rFonts w:hint="default" w:ascii="Times New Roman" w:hAnsi="Times New Roman" w:cs="Times New Roman"/>
                <w:color w:val="auto"/>
                <w:highlight w:val="none"/>
              </w:rPr>
            </w:pPr>
            <w:r>
              <w:rPr>
                <w:rFonts w:hint="default" w:ascii="Times New Roman" w:hAnsi="Times New Roman" w:cs="Times New Roman"/>
                <w:color w:val="auto"/>
                <w:position w:val="-24"/>
                <w:highlight w:val="none"/>
              </w:rPr>
              <w:object>
                <v:shape id="_x0000_i1131" o:spt="75" type="#_x0000_t75" style="height:31pt;width:233pt;" o:ole="t" filled="f" o:preferrelative="t" stroked="f" coordsize="21600,21600">
                  <v:path/>
                  <v:fill on="f" alignshape="1" focussize="0,0"/>
                  <v:stroke on="f"/>
                  <v:imagedata r:id="rId265" o:title=""/>
                  <o:lock v:ext="edit" aspectratio="t"/>
                  <w10:wrap type="none"/>
                  <w10:anchorlock/>
                </v:shape>
                <o:OLEObject Type="Embed" ProgID="Equation.3" ShapeID="_x0000_i1131" DrawAspect="Content" ObjectID="_1468075831" r:id="rId264">
                  <o:LockedField>false</o:LockedField>
                </o:OLEObject>
              </w:object>
            </w:r>
          </w:p>
        </w:tc>
        <w:tc>
          <w:tcPr>
            <w:tcW w:w="1575" w:type="dxa"/>
            <w:noWrap/>
            <w:vAlign w:val="center"/>
          </w:tcPr>
          <w:p w14:paraId="0AF655C5">
            <w:pPr>
              <w:pStyle w:val="124"/>
              <w:keepNext w:val="0"/>
              <w:keepLines w:val="0"/>
              <w:suppressLineNumbers w:val="0"/>
              <w:kinsoku/>
              <w:overflowPunct/>
              <w:topLinePunct/>
              <w:bidi w:val="0"/>
              <w:spacing w:before="0" w:beforeAutospacing="0" w:after="0" w:afterAutospacing="0" w:line="360" w:lineRule="auto"/>
              <w:ind w:left="0" w:right="0" w:firstLine="0"/>
              <w:jc w:val="righ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7.4</w:t>
            </w:r>
            <w:r>
              <w:rPr>
                <w:rFonts w:hint="default" w:ascii="Times New Roman" w:hAnsi="Times New Roman" w:cs="Times New Roman"/>
                <w:color w:val="auto"/>
                <w:sz w:val="21"/>
                <w:szCs w:val="21"/>
                <w:highlight w:val="none"/>
              </w:rPr>
              <w:t>.8）</w:t>
            </w:r>
          </w:p>
        </w:tc>
      </w:tr>
    </w:tbl>
    <w:p w14:paraId="6F26E821">
      <w:pPr>
        <w:keepNext w:val="0"/>
        <w:keepLines w:val="0"/>
        <w:pageBreakBefore w:val="0"/>
        <w:widowControl w:val="0"/>
        <w:kinsoku/>
        <w:wordWrap/>
        <w:overflowPunct/>
        <w:topLinePunct/>
        <w:autoSpaceDE/>
        <w:autoSpaceDN/>
        <w:bidi w:val="0"/>
        <w:adjustRightInd w:val="0"/>
        <w:snapToGrid w:val="0"/>
        <w:spacing w:line="360" w:lineRule="auto"/>
        <w:textAlignment w:val="auto"/>
        <w:rPr>
          <w:rFonts w:ascii="Times New Roman" w:hAnsi="Times New Roman" w:cs="Times New Roman"/>
          <w:color w:val="auto"/>
          <w:highlight w:val="none"/>
        </w:rPr>
      </w:pPr>
      <w:r>
        <w:rPr>
          <w:rFonts w:ascii="Times New Roman" w:hAnsi="Times New Roman" w:cs="Times New Roman"/>
          <w:color w:val="auto"/>
          <w:highlight w:val="none"/>
        </w:rPr>
        <w:t>式中：</w:t>
      </w:r>
      <w:r>
        <w:rPr>
          <w:rFonts w:ascii="Times New Roman" w:hAnsi="Times New Roman" w:cs="Times New Roman"/>
          <w:color w:val="auto"/>
          <w:position w:val="-10"/>
          <w:highlight w:val="none"/>
        </w:rPr>
        <w:object>
          <v:shape id="_x0000_i1132" o:spt="75" type="#_x0000_t75" style="height:15pt;width:28pt;" o:ole="t" filled="f" o:preferrelative="t" stroked="f" coordsize="21600,21600">
            <v:path/>
            <v:fill on="f" alignshape="1" focussize="0,0"/>
            <v:stroke on="f"/>
            <v:imagedata r:id="rId267" o:title=""/>
            <o:lock v:ext="edit" aspectratio="t"/>
            <w10:wrap type="none"/>
            <w10:anchorlock/>
          </v:shape>
          <o:OLEObject Type="Embed" ProgID="Equation.3" ShapeID="_x0000_i1132" DrawAspect="Content" ObjectID="_1468075832" r:id="rId266">
            <o:LockedField>false</o:LockedField>
          </o:OLEObject>
        </w:object>
      </w:r>
      <w:r>
        <w:rPr>
          <w:rFonts w:ascii="Times New Roman" w:hAnsi="Times New Roman" w:cs="Times New Roman"/>
          <w:color w:val="auto"/>
          <w:highlight w:val="none"/>
        </w:rPr>
        <w:t>——</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的非稳态氯离子迁移系数（</w:t>
      </w:r>
      <w:r>
        <w:rPr>
          <w:rFonts w:hint="default" w:ascii="Times New Roman" w:hAnsi="Times New Roman" w:cs="Times New Roman"/>
          <w:color w:val="auto"/>
          <w:highlight w:val="none"/>
        </w:rPr>
        <w:t>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/s），精确</w:t>
      </w:r>
      <w:r>
        <w:rPr>
          <w:rFonts w:hint="default" w:ascii="Times New Roman" w:hAnsi="Times New Roman" w:cs="Times New Roman"/>
          <w:color w:val="auto"/>
          <w:highlight w:val="none"/>
          <w:lang w:val="en-US" w:eastAsia="zh-CN"/>
        </w:rPr>
        <w:t>至</w:t>
      </w:r>
      <w:r>
        <w:rPr>
          <w:rFonts w:ascii="Times New Roman" w:hAnsi="Times New Roman" w:cs="Times New Roman"/>
          <w:color w:val="auto"/>
          <w:position w:val="-6"/>
          <w:highlight w:val="none"/>
        </w:rPr>
        <w:object>
          <v:shape id="_x0000_i1133" o:spt="75" type="#_x0000_t75" style="height:16pt;width:77.15pt;" o:ole="t" filled="f" o:preferrelative="t" stroked="f" coordsize="21600,21600">
            <v:path/>
            <v:fill on="f" focussize="0,0"/>
            <v:stroke on="f"/>
            <v:imagedata r:id="rId269" o:title=""/>
            <o:lock v:ext="edit" aspectratio="t"/>
            <w10:wrap type="none"/>
            <w10:anchorlock/>
          </v:shape>
          <o:OLEObject Type="Embed" ProgID="Equation.3" ShapeID="_x0000_i1133" DrawAspect="Content" ObjectID="_1468075833" r:id="rId268">
            <o:LockedField>false</o:LockedField>
          </o:OLEObject>
        </w:object>
      </w:r>
      <w:r>
        <w:rPr>
          <w:rFonts w:ascii="Times New Roman" w:hAnsi="Times New Roman" w:cs="Times New Roman"/>
          <w:color w:val="auto"/>
          <w:highlight w:val="none"/>
        </w:rPr>
        <w:t>；</w:t>
      </w:r>
    </w:p>
    <w:p w14:paraId="37090598">
      <w:pPr>
        <w:keepNext w:val="0"/>
        <w:keepLines w:val="0"/>
        <w:pageBreakBefore w:val="0"/>
        <w:widowControl w:val="0"/>
        <w:kinsoku/>
        <w:wordWrap/>
        <w:overflowPunct/>
        <w:topLinePunct/>
        <w:autoSpaceDE/>
        <w:autoSpaceDN/>
        <w:bidi w:val="0"/>
        <w:adjustRightInd w:val="0"/>
        <w:snapToGrid w:val="0"/>
        <w:spacing w:line="360" w:lineRule="auto"/>
        <w:ind w:firstLine="644" w:firstLineChars="307"/>
        <w:textAlignment w:val="auto"/>
        <w:rPr>
          <w:rFonts w:ascii="Times New Roman" w:hAnsi="Times New Roman" w:cs="Times New Roman"/>
          <w:color w:val="auto"/>
          <w:highlight w:val="none"/>
        </w:rPr>
      </w:pPr>
      <w:r>
        <w:rPr>
          <w:rFonts w:ascii="Times New Roman" w:hAnsi="Times New Roman" w:cs="Times New Roman"/>
          <w:color w:val="auto"/>
          <w:position w:val="-6"/>
          <w:highlight w:val="none"/>
        </w:rPr>
        <w:object>
          <v:shape id="_x0000_i1134" o:spt="75" type="#_x0000_t75" style="height:13.95pt;width:13pt;" o:ole="t" filled="f" stroked="f" coordsize="21600,21600">
            <v:path/>
            <v:fill on="f" alignshape="1" focussize="0,0"/>
            <v:stroke on="f"/>
            <v:imagedata r:id="rId271" o:title=""/>
            <o:lock v:ext="edit" aspectratio="t"/>
            <w10:wrap type="none"/>
            <w10:anchorlock/>
          </v:shape>
          <o:OLEObject Type="Embed" ProgID="Equation.3" ShapeID="_x0000_i1134" DrawAspect="Content" ObjectID="_1468075834" r:id="rId270">
            <o:LockedField>false</o:LockedField>
          </o:OLEObject>
        </w:object>
      </w:r>
      <w:r>
        <w:rPr>
          <w:rFonts w:ascii="Times New Roman" w:hAnsi="Times New Roman" w:cs="Times New Roman"/>
          <w:color w:val="auto"/>
          <w:highlight w:val="none"/>
        </w:rPr>
        <w:t xml:space="preserve">  ——所用电压的绝对值（V）；</w:t>
      </w:r>
    </w:p>
    <w:p w14:paraId="0747FC38">
      <w:pPr>
        <w:keepNext w:val="0"/>
        <w:keepLines w:val="0"/>
        <w:pageBreakBefore w:val="0"/>
        <w:widowControl w:val="0"/>
        <w:kinsoku/>
        <w:wordWrap/>
        <w:overflowPunct/>
        <w:topLinePunct/>
        <w:autoSpaceDE/>
        <w:autoSpaceDN/>
        <w:bidi w:val="0"/>
        <w:adjustRightInd w:val="0"/>
        <w:snapToGrid w:val="0"/>
        <w:spacing w:line="360" w:lineRule="auto"/>
        <w:ind w:firstLine="644" w:firstLineChars="307"/>
        <w:textAlignment w:val="auto"/>
        <w:rPr>
          <w:rFonts w:ascii="Times New Roman" w:hAnsi="Times New Roman" w:cs="Times New Roman"/>
          <w:color w:val="auto"/>
          <w:highlight w:val="none"/>
        </w:rPr>
      </w:pPr>
      <w:r>
        <w:rPr>
          <w:rFonts w:ascii="Times New Roman" w:hAnsi="Times New Roman" w:cs="Times New Roman"/>
          <w:color w:val="auto"/>
          <w:position w:val="-4"/>
          <w:highlight w:val="none"/>
        </w:rPr>
        <w:object>
          <v:shape id="_x0000_i1135" o:spt="75" type="#_x0000_t75" style="height:11pt;width:10pt;" o:ole="t" filled="f" o:preferrelative="t" stroked="f" coordsize="21600,21600">
            <v:path/>
            <v:fill on="f" alignshape="1" focussize="0,0"/>
            <v:stroke on="f"/>
            <v:imagedata r:id="rId273" o:title=""/>
            <o:lock v:ext="edit" aspectratio="t"/>
            <w10:wrap type="none"/>
            <w10:anchorlock/>
          </v:shape>
          <o:OLEObject Type="Embed" ProgID="Equation.3" ShapeID="_x0000_i1135" DrawAspect="Content" ObjectID="_1468075835" r:id="rId272">
            <o:LockedField>false</o:LockedField>
          </o:OLEObject>
        </w:object>
      </w:r>
      <w:r>
        <w:rPr>
          <w:rFonts w:ascii="Times New Roman" w:hAnsi="Times New Roman" w:cs="Times New Roman"/>
          <w:color w:val="auto"/>
          <w:highlight w:val="none"/>
        </w:rPr>
        <w:t xml:space="preserve">  ——阳极溶液的初始温度和结束温度的平均值（ºC）；</w:t>
      </w:r>
    </w:p>
    <w:p w14:paraId="4EA1EC48">
      <w:pPr>
        <w:keepNext w:val="0"/>
        <w:keepLines w:val="0"/>
        <w:pageBreakBefore w:val="0"/>
        <w:widowControl w:val="0"/>
        <w:kinsoku/>
        <w:wordWrap/>
        <w:overflowPunct/>
        <w:topLinePunct/>
        <w:autoSpaceDE/>
        <w:autoSpaceDN/>
        <w:bidi w:val="0"/>
        <w:adjustRightInd w:val="0"/>
        <w:snapToGrid w:val="0"/>
        <w:spacing w:line="360" w:lineRule="auto"/>
        <w:ind w:firstLine="644" w:firstLineChars="307"/>
        <w:textAlignment w:val="auto"/>
        <w:rPr>
          <w:rFonts w:ascii="Times New Roman" w:hAnsi="Times New Roman" w:cs="Times New Roman"/>
          <w:color w:val="auto"/>
          <w:highlight w:val="none"/>
        </w:rPr>
      </w:pPr>
      <w:r>
        <w:rPr>
          <w:rFonts w:ascii="Times New Roman" w:hAnsi="Times New Roman" w:cs="Times New Roman"/>
          <w:color w:val="auto"/>
          <w:position w:val="-4"/>
          <w:highlight w:val="none"/>
        </w:rPr>
        <w:object>
          <v:shape id="_x0000_i1136" o:spt="75" type="#_x0000_t75" style="height:11pt;width:10pt;" o:ole="t" filled="f" o:preferrelative="t" stroked="f" coordsize="21600,21600">
            <v:path/>
            <v:fill on="f" alignshape="1" focussize="0,0"/>
            <v:stroke on="f"/>
            <v:imagedata r:id="rId275" o:title=""/>
            <o:lock v:ext="edit" aspectratio="t"/>
            <w10:wrap type="none"/>
            <w10:anchorlock/>
          </v:shape>
          <o:OLEObject Type="Embed" ProgID="Equation.3" ShapeID="_x0000_i1136" DrawAspect="Content" ObjectID="_1468075836" r:id="rId274">
            <o:LockedField>false</o:LockedField>
          </o:OLEObject>
        </w:object>
      </w:r>
      <w:r>
        <w:rPr>
          <w:rFonts w:ascii="Times New Roman" w:hAnsi="Times New Roman" w:cs="Times New Roman"/>
          <w:color w:val="auto"/>
          <w:highlight w:val="none"/>
        </w:rPr>
        <w:t xml:space="preserve">  ——试件厚度（mm），精确</w:t>
      </w:r>
      <w:r>
        <w:rPr>
          <w:rFonts w:hint="default" w:ascii="Times New Roman" w:hAnsi="Times New Roman" w:cs="Times New Roman"/>
          <w:color w:val="auto"/>
          <w:highlight w:val="none"/>
          <w:lang w:val="en-US" w:eastAsia="zh-CN"/>
        </w:rPr>
        <w:t>至</w:t>
      </w:r>
      <w:r>
        <w:rPr>
          <w:rFonts w:ascii="Times New Roman" w:hAnsi="Times New Roman" w:cs="Times New Roman"/>
          <w:color w:val="auto"/>
          <w:highlight w:val="none"/>
        </w:rPr>
        <w:t>0.1mm；</w:t>
      </w:r>
    </w:p>
    <w:p w14:paraId="6A011A09">
      <w:pPr>
        <w:keepNext w:val="0"/>
        <w:keepLines w:val="0"/>
        <w:pageBreakBefore w:val="0"/>
        <w:widowControl w:val="0"/>
        <w:kinsoku/>
        <w:wordWrap/>
        <w:overflowPunct/>
        <w:topLinePunct/>
        <w:autoSpaceDE/>
        <w:autoSpaceDN/>
        <w:bidi w:val="0"/>
        <w:adjustRightInd w:val="0"/>
        <w:snapToGrid w:val="0"/>
        <w:spacing w:line="360" w:lineRule="auto"/>
        <w:ind w:firstLine="644" w:firstLineChars="307"/>
        <w:textAlignment w:val="auto"/>
        <w:rPr>
          <w:rFonts w:ascii="Times New Roman" w:hAnsi="Times New Roman" w:cs="Times New Roman"/>
          <w:color w:val="auto"/>
          <w:highlight w:val="none"/>
        </w:rPr>
      </w:pPr>
      <w:r>
        <w:rPr>
          <w:rFonts w:ascii="Times New Roman" w:hAnsi="Times New Roman" w:cs="Times New Roman"/>
          <w:color w:val="auto"/>
          <w:position w:val="-10"/>
          <w:highlight w:val="none"/>
        </w:rPr>
        <w:object>
          <v:shape id="_x0000_i1137" o:spt="75" type="#_x0000_t75" style="height:15pt;width:17pt;" o:ole="t" filled="f" o:preferrelative="t" stroked="f" coordsize="21600,21600">
            <v:path/>
            <v:fill on="f" alignshape="1" focussize="0,0"/>
            <v:stroke on="f"/>
            <v:imagedata r:id="rId277" o:title=""/>
            <o:lock v:ext="edit" aspectratio="t"/>
            <w10:wrap type="none"/>
            <w10:anchorlock/>
          </v:shape>
          <o:OLEObject Type="Embed" ProgID="Equation.3" ShapeID="_x0000_i1137" DrawAspect="Content" ObjectID="_1468075837" r:id="rId276">
            <o:LockedField>false</o:LockedField>
          </o:OLEObject>
        </w:object>
      </w:r>
      <w:r>
        <w:rPr>
          <w:rFonts w:ascii="Times New Roman" w:hAnsi="Times New Roman" w:cs="Times New Roman"/>
          <w:color w:val="auto"/>
          <w:highlight w:val="none"/>
        </w:rPr>
        <w:t xml:space="preserve"> ——氯离子渗透深度的平均值（mm），精确</w:t>
      </w:r>
      <w:r>
        <w:rPr>
          <w:rFonts w:hint="default" w:ascii="Times New Roman" w:hAnsi="Times New Roman" w:cs="Times New Roman"/>
          <w:color w:val="auto"/>
          <w:highlight w:val="none"/>
          <w:lang w:val="en-US" w:eastAsia="zh-CN"/>
        </w:rPr>
        <w:t>至</w:t>
      </w:r>
      <w:r>
        <w:rPr>
          <w:rFonts w:ascii="Times New Roman" w:hAnsi="Times New Roman" w:cs="Times New Roman"/>
          <w:color w:val="auto"/>
          <w:highlight w:val="none"/>
        </w:rPr>
        <w:t>0.1mm；</w:t>
      </w:r>
    </w:p>
    <w:p w14:paraId="2111B51B">
      <w:pPr>
        <w:keepNext w:val="0"/>
        <w:keepLines w:val="0"/>
        <w:pageBreakBefore w:val="0"/>
        <w:widowControl w:val="0"/>
        <w:kinsoku/>
        <w:wordWrap/>
        <w:overflowPunct/>
        <w:topLinePunct/>
        <w:autoSpaceDE/>
        <w:autoSpaceDN/>
        <w:bidi w:val="0"/>
        <w:adjustRightInd w:val="0"/>
        <w:snapToGrid w:val="0"/>
        <w:spacing w:line="360" w:lineRule="auto"/>
        <w:ind w:firstLine="598"/>
        <w:textAlignment w:val="auto"/>
        <w:rPr>
          <w:rFonts w:ascii="Times New Roman" w:hAnsi="Times New Roman" w:cs="Times New Roman"/>
          <w:color w:val="auto"/>
          <w:highlight w:val="none"/>
        </w:rPr>
      </w:pPr>
      <w:r>
        <w:rPr>
          <w:rFonts w:ascii="Times New Roman" w:hAnsi="Times New Roman" w:cs="Times New Roman"/>
          <w:color w:val="auto"/>
          <w:position w:val="-6"/>
          <w:highlight w:val="none"/>
        </w:rPr>
        <w:object>
          <v:shape id="_x0000_i1138" o:spt="75" type="#_x0000_t75" style="height:12pt;width:6.95pt;" o:ole="t" filled="f" stroked="f" coordsize="21600,21600">
            <v:path/>
            <v:fill on="f" alignshape="1" focussize="0,0"/>
            <v:stroke on="f"/>
            <v:imagedata r:id="rId279" o:title=""/>
            <o:lock v:ext="edit" aspectratio="t"/>
            <w10:wrap type="none"/>
            <w10:anchorlock/>
          </v:shape>
          <o:OLEObject Type="Embed" ProgID="Equation.3" ShapeID="_x0000_i1138" DrawAspect="Content" ObjectID="_1468075838" r:id="rId278">
            <o:LockedField>false</o:LockedField>
          </o:OLEObject>
        </w:object>
      </w:r>
      <w:r>
        <w:rPr>
          <w:rFonts w:ascii="Times New Roman" w:hAnsi="Times New Roman" w:cs="Times New Roman"/>
          <w:color w:val="auto"/>
          <w:highlight w:val="none"/>
        </w:rPr>
        <w:t xml:space="preserve"> </w:t>
      </w:r>
      <w:r>
        <w:rPr>
          <w:rFonts w:ascii="Times New Roman" w:hAnsi="Times New Roman" w:cs="Times New Roman"/>
          <w:color w:val="auto"/>
          <w:sz w:val="10"/>
          <w:szCs w:val="10"/>
          <w:highlight w:val="none"/>
        </w:rPr>
        <w:t xml:space="preserve"> </w:t>
      </w:r>
      <w:r>
        <w:rPr>
          <w:rFonts w:ascii="Times New Roman" w:hAnsi="Times New Roman" w:cs="Times New Roman"/>
          <w:color w:val="auto"/>
          <w:highlight w:val="none"/>
        </w:rPr>
        <w:t>——试验持续时间（h）。</w:t>
      </w:r>
    </w:p>
    <w:p w14:paraId="55692A79">
      <w:pPr>
        <w:kinsoku/>
        <w:overflowPunct/>
        <w:bidi w:val="0"/>
        <w:spacing w:line="360" w:lineRule="auto"/>
        <w:rPr>
          <w:color w:val="auto"/>
          <w:highlight w:val="none"/>
        </w:rPr>
      </w:pPr>
      <w:r>
        <w:rPr>
          <w:rFonts w:ascii="Times New Roman" w:hAnsi="Times New Roman" w:eastAsia="黑体" w:cs="Times New Roman"/>
          <w:b/>
          <w:bCs/>
          <w:color w:val="auto"/>
          <w:szCs w:val="21"/>
          <w:highlight w:val="none"/>
        </w:rPr>
        <w:t>2</w:t>
      </w:r>
      <w:r>
        <w:rPr>
          <w:rFonts w:ascii="Times New Roman" w:hAnsi="Times New Roman" w:cs="Times New Roman"/>
          <w:color w:val="auto"/>
          <w:highlight w:val="none"/>
        </w:rPr>
        <w:t xml:space="preserve">  每组应</w:t>
      </w:r>
      <w:r>
        <w:rPr>
          <w:rFonts w:hint="default" w:ascii="Times New Roman" w:hAnsi="Times New Roman" w:cs="Times New Roman"/>
          <w:color w:val="auto"/>
          <w:highlight w:val="none"/>
          <w:lang w:val="en-US" w:eastAsia="zh-CN"/>
        </w:rPr>
        <w:t>取</w:t>
      </w:r>
      <w:r>
        <w:rPr>
          <w:rFonts w:ascii="Times New Roman" w:hAnsi="Times New Roman" w:cs="Times New Roman"/>
          <w:color w:val="auto"/>
          <w:highlight w:val="none"/>
        </w:rPr>
        <w:t>3个试样的氯离子迁移系数的算术平均值作为该组试件的氯离子迁移系数测定值。</w:t>
      </w:r>
      <w:r>
        <w:rPr>
          <w:rFonts w:ascii="Times New Roman" w:hAnsi="Times New Roman" w:cs="Times New Roman"/>
          <w:color w:val="auto"/>
          <w:szCs w:val="21"/>
          <w:highlight w:val="none"/>
        </w:rPr>
        <w:t>当最大值或最小值与中间值之差超过中间值的15%时，应剔除此值，再取其余两值的平均值作为测定值；当最大值和最小值均超过中间值的15%时，应取中间值作为测定值。</w:t>
      </w:r>
    </w:p>
    <w:p w14:paraId="2341D37D">
      <w:pPr>
        <w:keepNext w:val="0"/>
        <w:keepLines w:val="0"/>
        <w:pageBreakBefore w:val="0"/>
        <w:widowControl w:val="0"/>
        <w:numPr>
          <w:ilvl w:val="0"/>
          <w:numId w:val="0"/>
        </w:numPr>
        <w:kinsoku/>
        <w:wordWrap/>
        <w:overflowPunct/>
        <w:autoSpaceDE/>
        <w:autoSpaceDN/>
        <w:bidi w:val="0"/>
        <w:spacing w:before="156" w:beforeLines="50" w:after="156" w:afterLines="50" w:line="360" w:lineRule="auto"/>
        <w:ind w:leftChars="0"/>
        <w:textAlignment w:val="auto"/>
        <w:outlineLvl w:val="1"/>
        <w:rPr>
          <w:rFonts w:hint="default" w:ascii="Times New Roman" w:hAnsi="Times New Roman" w:eastAsia="黑体" w:cs="Times New Roman"/>
          <w:color w:val="auto"/>
          <w:sz w:val="21"/>
          <w:szCs w:val="21"/>
          <w:highlight w:val="none"/>
          <w:lang w:val="en-US" w:eastAsia="zh-CN" w:bidi="ar-SA"/>
        </w:rPr>
      </w:pPr>
      <w:bookmarkStart w:id="184" w:name="_Toc776"/>
      <w:r>
        <w:rPr>
          <w:rFonts w:hint="default" w:ascii="Times New Roman" w:hAnsi="Times New Roman" w:eastAsia="黑体" w:cs="Times New Roman"/>
          <w:color w:val="auto"/>
          <w:sz w:val="21"/>
          <w:szCs w:val="21"/>
          <w:highlight w:val="none"/>
          <w:lang w:val="en-US" w:eastAsia="zh-CN" w:bidi="ar-SA"/>
        </w:rPr>
        <w:t>7.</w:t>
      </w:r>
      <w:r>
        <w:rPr>
          <w:rFonts w:hint="eastAsia" w:eastAsia="黑体" w:cs="Times New Roman"/>
          <w:color w:val="auto"/>
          <w:sz w:val="21"/>
          <w:szCs w:val="21"/>
          <w:highlight w:val="none"/>
          <w:lang w:val="en-US" w:eastAsia="zh-CN" w:bidi="ar-SA"/>
        </w:rPr>
        <w:t>6</w:t>
      </w:r>
      <w:r>
        <w:rPr>
          <w:rFonts w:hint="default" w:ascii="Times New Roman" w:hAnsi="Times New Roman" w:eastAsia="黑体" w:cs="Times New Roman"/>
          <w:color w:val="auto"/>
          <w:sz w:val="21"/>
          <w:szCs w:val="21"/>
          <w:highlight w:val="none"/>
          <w:lang w:val="en-US" w:eastAsia="zh-CN" w:bidi="ar-SA"/>
        </w:rPr>
        <w:t xml:space="preserve"> 抗气体渗透性能试验</w:t>
      </w:r>
      <w:bookmarkEnd w:id="184"/>
    </w:p>
    <w:p w14:paraId="2D7191D2">
      <w:pPr>
        <w:keepNext w:val="0"/>
        <w:keepLines w:val="0"/>
        <w:pageBreakBefore w:val="0"/>
        <w:widowControl w:val="0"/>
        <w:kinsoku/>
        <w:wordWrap/>
        <w:overflowPunct/>
        <w:autoSpaceDE/>
        <w:autoSpaceDN/>
        <w:bidi w:val="0"/>
        <w:spacing w:line="360" w:lineRule="auto"/>
        <w:textAlignment w:val="auto"/>
        <w:rPr>
          <w:rFonts w:ascii="Times New Roman" w:hAnsi="Times New Roman" w:cs="Times New Roman"/>
          <w:color w:val="auto"/>
          <w:highlight w:val="none"/>
        </w:rPr>
      </w:pPr>
      <w:r>
        <w:rPr>
          <w:rFonts w:hint="default" w:ascii="Times New Roman" w:hAnsi="Times New Roman" w:eastAsia="黑体" w:cs="Times New Roman"/>
          <w:bCs/>
          <w:color w:val="auto"/>
          <w:szCs w:val="21"/>
          <w:highlight w:val="none"/>
          <w:lang w:eastAsia="zh-CN"/>
        </w:rPr>
        <w:t>7.</w:t>
      </w:r>
      <w:r>
        <w:rPr>
          <w:rFonts w:hint="eastAsia" w:eastAsia="黑体" w:cs="Times New Roman"/>
          <w:bCs/>
          <w:color w:val="auto"/>
          <w:szCs w:val="21"/>
          <w:highlight w:val="none"/>
          <w:lang w:val="en-US" w:eastAsia="zh-CN"/>
        </w:rPr>
        <w:t>6</w:t>
      </w:r>
      <w:r>
        <w:rPr>
          <w:rFonts w:ascii="Times New Roman" w:hAnsi="Times New Roman" w:eastAsia="黑体" w:cs="Times New Roman"/>
          <w:bCs/>
          <w:color w:val="auto"/>
          <w:szCs w:val="21"/>
          <w:highlight w:val="none"/>
        </w:rPr>
        <w:t>.1</w:t>
      </w:r>
      <w:r>
        <w:rPr>
          <w:rFonts w:ascii="Times New Roman" w:hAnsi="Times New Roman" w:cs="Times New Roman"/>
          <w:color w:val="auto"/>
          <w:highlight w:val="none"/>
        </w:rPr>
        <w:t xml:space="preserve"> 本方法适用于以测定</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的气体渗透率来</w:t>
      </w:r>
      <w:r>
        <w:rPr>
          <w:rFonts w:hint="default" w:ascii="Times New Roman" w:hAnsi="Times New Roman" w:cs="Times New Roman"/>
          <w:color w:val="auto"/>
          <w:highlight w:val="none"/>
        </w:rPr>
        <w:t>确定</w:t>
      </w:r>
      <w:r>
        <w:rPr>
          <w:rFonts w:hint="default" w:ascii="Times New Roman" w:hAnsi="Times New Roman" w:cs="Times New Roman"/>
          <w:color w:val="auto"/>
          <w:highlight w:val="none"/>
          <w:lang w:eastAsia="zh-CN"/>
        </w:rPr>
        <w:t>超高性能混凝土</w:t>
      </w:r>
      <w:r>
        <w:rPr>
          <w:rFonts w:ascii="Times New Roman" w:hAnsi="Times New Roman" w:cs="Times New Roman"/>
          <w:color w:val="auto"/>
          <w:highlight w:val="none"/>
        </w:rPr>
        <w:t>抗气体渗透性能。</w:t>
      </w:r>
    </w:p>
    <w:p w14:paraId="21F8D422">
      <w:pPr>
        <w:keepNext w:val="0"/>
        <w:keepLines w:val="0"/>
        <w:pageBreakBefore w:val="0"/>
        <w:widowControl w:val="0"/>
        <w:kinsoku/>
        <w:wordWrap/>
        <w:overflowPunct/>
        <w:autoSpaceDE/>
        <w:autoSpaceDN/>
        <w:bidi w:val="0"/>
        <w:spacing w:line="360" w:lineRule="auto"/>
        <w:textAlignment w:val="auto"/>
        <w:rPr>
          <w:rFonts w:ascii="Times New Roman" w:hAnsi="Times New Roman" w:cs="Times New Roman"/>
          <w:color w:val="auto"/>
          <w:highlight w:val="none"/>
        </w:rPr>
      </w:pPr>
      <w:r>
        <w:rPr>
          <w:rFonts w:hint="default" w:ascii="Times New Roman" w:hAnsi="Times New Roman" w:eastAsia="黑体" w:cs="Times New Roman"/>
          <w:bCs/>
          <w:color w:val="auto"/>
          <w:szCs w:val="21"/>
          <w:highlight w:val="none"/>
          <w:lang w:eastAsia="zh-CN"/>
        </w:rPr>
        <w:t>7.</w:t>
      </w:r>
      <w:r>
        <w:rPr>
          <w:rFonts w:hint="eastAsia" w:eastAsia="黑体" w:cs="Times New Roman"/>
          <w:bCs/>
          <w:color w:val="auto"/>
          <w:szCs w:val="21"/>
          <w:highlight w:val="none"/>
          <w:lang w:val="en-US" w:eastAsia="zh-CN"/>
        </w:rPr>
        <w:t>6</w:t>
      </w:r>
      <w:r>
        <w:rPr>
          <w:rFonts w:ascii="Times New Roman" w:hAnsi="Times New Roman" w:eastAsia="黑体" w:cs="Times New Roman"/>
          <w:bCs/>
          <w:color w:val="auto"/>
          <w:szCs w:val="21"/>
          <w:highlight w:val="none"/>
        </w:rPr>
        <w:t>.2</w:t>
      </w:r>
      <w:r>
        <w:rPr>
          <w:rFonts w:ascii="Times New Roman" w:hAnsi="Times New Roman" w:cs="Times New Roman"/>
          <w:color w:val="auto"/>
          <w:highlight w:val="none"/>
        </w:rPr>
        <w:t xml:space="preserve"> 试验设备应符合下列规定：</w:t>
      </w:r>
    </w:p>
    <w:p w14:paraId="260835E1">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ascii="Times New Roman" w:hAnsi="Times New Roman" w:cs="Times New Roman"/>
          <w:color w:val="auto"/>
          <w:highlight w:val="none"/>
        </w:rPr>
      </w:pPr>
      <w:r>
        <w:rPr>
          <w:rFonts w:ascii="Times New Roman" w:hAnsi="Times New Roman" w:eastAsia="黑体" w:cs="Times New Roman"/>
          <w:bCs/>
          <w:color w:val="auto"/>
          <w:szCs w:val="21"/>
          <w:highlight w:val="none"/>
        </w:rPr>
        <w:t>1</w:t>
      </w:r>
      <w:r>
        <w:rPr>
          <w:rFonts w:ascii="Times New Roman" w:hAnsi="Times New Roman" w:cs="Times New Roman"/>
          <w:color w:val="auto"/>
          <w:highlight w:val="none"/>
        </w:rPr>
        <w:t xml:space="preserve">  抗气体渗透试验设备（图</w:t>
      </w:r>
      <w:r>
        <w:rPr>
          <w:rFonts w:hint="default" w:ascii="Times New Roman" w:hAnsi="Times New Roman" w:cs="Times New Roman"/>
          <w:color w:val="auto"/>
          <w:highlight w:val="none"/>
          <w:lang w:eastAsia="zh-CN"/>
        </w:rPr>
        <w:t>7.</w:t>
      </w:r>
      <w:r>
        <w:rPr>
          <w:rFonts w:hint="eastAsia" w:cs="Times New Roman"/>
          <w:color w:val="auto"/>
          <w:highlight w:val="none"/>
          <w:lang w:val="en-US" w:eastAsia="zh-CN"/>
        </w:rPr>
        <w:t>6</w:t>
      </w:r>
      <w:r>
        <w:rPr>
          <w:rFonts w:ascii="Times New Roman" w:hAnsi="Times New Roman" w:cs="Times New Roman"/>
          <w:color w:val="auto"/>
          <w:highlight w:val="none"/>
        </w:rPr>
        <w:t>.2）应包括气路系统和气体渗透单元。</w:t>
      </w:r>
    </w:p>
    <w:p w14:paraId="4D487883">
      <w:pPr>
        <w:kinsoku/>
        <w:overflowPunct/>
        <w:bidi w:val="0"/>
        <w:spacing w:line="360" w:lineRule="auto"/>
        <w:jc w:val="center"/>
        <w:rPr>
          <w:rFonts w:ascii="Times New Roman" w:hAnsi="Times New Roman" w:cs="Times New Roman"/>
          <w:color w:val="auto"/>
          <w:highlight w:val="none"/>
        </w:rPr>
      </w:pPr>
      <w:r>
        <w:rPr>
          <w:highlight w:val="none"/>
        </w:rPr>
        <w:drawing>
          <wp:inline distT="0" distB="0" distL="0" distR="0">
            <wp:extent cx="5940425" cy="2013585"/>
            <wp:effectExtent l="0" t="0" r="3175"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0"/>
                    <a:stretch>
                      <a:fillRect/>
                    </a:stretch>
                  </pic:blipFill>
                  <pic:spPr>
                    <a:xfrm>
                      <a:off x="0" y="0"/>
                      <a:ext cx="5940425" cy="2013585"/>
                    </a:xfrm>
                    <a:prstGeom prst="rect">
                      <a:avLst/>
                    </a:prstGeom>
                  </pic:spPr>
                </pic:pic>
              </a:graphicData>
            </a:graphic>
          </wp:inline>
        </w:drawing>
      </w:r>
    </w:p>
    <w:p w14:paraId="6A9D45BF">
      <w:pPr>
        <w:kinsoku/>
        <w:overflowPunct/>
        <w:bidi w:val="0"/>
        <w:spacing w:line="360" w:lineRule="auto"/>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图</w:t>
      </w:r>
      <w:r>
        <w:rPr>
          <w:rFonts w:hint="default" w:ascii="Times New Roman" w:hAnsi="Times New Roman" w:cs="Times New Roman"/>
          <w:color w:val="auto"/>
          <w:kern w:val="0"/>
          <w:sz w:val="18"/>
          <w:szCs w:val="18"/>
          <w:highlight w:val="none"/>
          <w:lang w:eastAsia="zh-CN"/>
        </w:rPr>
        <w:t>7.</w:t>
      </w:r>
      <w:r>
        <w:rPr>
          <w:rFonts w:hint="eastAsia" w:cs="Times New Roman"/>
          <w:color w:val="auto"/>
          <w:kern w:val="0"/>
          <w:sz w:val="18"/>
          <w:szCs w:val="18"/>
          <w:highlight w:val="none"/>
          <w:lang w:val="en-US" w:eastAsia="zh-CN"/>
        </w:rPr>
        <w:t>6</w:t>
      </w:r>
      <w:r>
        <w:rPr>
          <w:rFonts w:ascii="Times New Roman" w:hAnsi="Times New Roman" w:cs="Times New Roman"/>
          <w:color w:val="auto"/>
          <w:kern w:val="0"/>
          <w:sz w:val="18"/>
          <w:szCs w:val="18"/>
          <w:highlight w:val="none"/>
        </w:rPr>
        <w:t>.2  抗气体渗透试验设备</w:t>
      </w:r>
    </w:p>
    <w:p w14:paraId="0055E2C6">
      <w:pPr>
        <w:kinsoku/>
        <w:overflowPunct/>
        <w:topLinePunct/>
        <w:bidi w:val="0"/>
        <w:adjustRightInd w:val="0"/>
        <w:snapToGrid w:val="0"/>
        <w:spacing w:line="360" w:lineRule="auto"/>
        <w:ind w:firstLine="300" w:firstLineChars="200"/>
        <w:jc w:val="center"/>
        <w:rPr>
          <w:rFonts w:ascii="Times New Roman" w:hAnsi="Times New Roman" w:cs="Times New Roman"/>
          <w:color w:val="auto"/>
          <w:kern w:val="0"/>
          <w:sz w:val="15"/>
          <w:szCs w:val="15"/>
          <w:highlight w:val="none"/>
        </w:rPr>
      </w:pPr>
      <w:r>
        <w:rPr>
          <w:rFonts w:ascii="Times New Roman" w:hAnsi="Times New Roman" w:cs="Times New Roman"/>
          <w:color w:val="auto"/>
          <w:kern w:val="0"/>
          <w:sz w:val="15"/>
          <w:szCs w:val="15"/>
          <w:highlight w:val="none"/>
        </w:rPr>
        <w:t>1－高压气瓶；2－气路</w:t>
      </w:r>
      <w:r>
        <w:rPr>
          <w:rFonts w:hint="default" w:ascii="Times New Roman" w:hAnsi="Times New Roman" w:cs="Times New Roman"/>
          <w:color w:val="auto"/>
          <w:kern w:val="0"/>
          <w:sz w:val="15"/>
          <w:szCs w:val="15"/>
          <w:highlight w:val="none"/>
        </w:rPr>
        <w:t>总</w:t>
      </w:r>
      <w:r>
        <w:rPr>
          <w:rFonts w:ascii="Times New Roman" w:hAnsi="Times New Roman" w:cs="Times New Roman"/>
          <w:color w:val="auto"/>
          <w:kern w:val="0"/>
          <w:sz w:val="15"/>
          <w:szCs w:val="15"/>
          <w:highlight w:val="none"/>
        </w:rPr>
        <w:t>开关；3－高精度压力表</w:t>
      </w:r>
      <w:r>
        <w:rPr>
          <w:rFonts w:hint="default" w:ascii="Times New Roman" w:hAnsi="Times New Roman" w:cs="Times New Roman"/>
          <w:color w:val="auto"/>
          <w:kern w:val="0"/>
          <w:sz w:val="15"/>
          <w:szCs w:val="15"/>
          <w:highlight w:val="none"/>
        </w:rPr>
        <w:t>；4—密封气路</w:t>
      </w:r>
      <w:r>
        <w:rPr>
          <w:rFonts w:ascii="Times New Roman" w:hAnsi="Times New Roman" w:cs="Times New Roman"/>
          <w:color w:val="auto"/>
          <w:kern w:val="0"/>
          <w:sz w:val="15"/>
          <w:szCs w:val="15"/>
          <w:highlight w:val="none"/>
        </w:rPr>
        <w:t>减压阀；</w:t>
      </w:r>
      <w:r>
        <w:rPr>
          <w:rFonts w:hint="default" w:ascii="Times New Roman" w:hAnsi="Times New Roman" w:cs="Times New Roman"/>
          <w:color w:val="auto"/>
          <w:kern w:val="0"/>
          <w:sz w:val="15"/>
          <w:szCs w:val="15"/>
          <w:highlight w:val="none"/>
        </w:rPr>
        <w:t>5—密封气路开关；6—进气气路减压阀；7</w:t>
      </w:r>
      <w:r>
        <w:rPr>
          <w:rFonts w:ascii="Times New Roman" w:hAnsi="Times New Roman" w:cs="Times New Roman"/>
          <w:color w:val="auto"/>
          <w:kern w:val="0"/>
          <w:sz w:val="15"/>
          <w:szCs w:val="15"/>
          <w:highlight w:val="none"/>
        </w:rPr>
        <w:t>－</w:t>
      </w:r>
      <w:r>
        <w:rPr>
          <w:rFonts w:hint="default" w:ascii="Times New Roman" w:hAnsi="Times New Roman" w:cs="Times New Roman"/>
          <w:color w:val="auto"/>
          <w:kern w:val="0"/>
          <w:sz w:val="15"/>
          <w:szCs w:val="15"/>
          <w:highlight w:val="none"/>
        </w:rPr>
        <w:t>进气气路开关；8</w:t>
      </w:r>
      <w:r>
        <w:rPr>
          <w:rFonts w:ascii="Times New Roman" w:hAnsi="Times New Roman" w:cs="Times New Roman"/>
          <w:color w:val="auto"/>
          <w:kern w:val="0"/>
          <w:sz w:val="15"/>
          <w:szCs w:val="15"/>
          <w:highlight w:val="none"/>
        </w:rPr>
        <w:t>－</w:t>
      </w:r>
      <w:r>
        <w:rPr>
          <w:rFonts w:hint="default" w:ascii="Times New Roman" w:hAnsi="Times New Roman" w:cs="Times New Roman"/>
          <w:color w:val="auto"/>
          <w:kern w:val="0"/>
          <w:sz w:val="15"/>
          <w:szCs w:val="15"/>
          <w:highlight w:val="none"/>
          <w:lang w:eastAsia="zh-CN"/>
        </w:rPr>
        <w:t>超高性能混凝土</w:t>
      </w:r>
      <w:r>
        <w:rPr>
          <w:rFonts w:ascii="Times New Roman" w:hAnsi="Times New Roman" w:cs="Times New Roman"/>
          <w:color w:val="auto"/>
          <w:kern w:val="0"/>
          <w:sz w:val="15"/>
          <w:szCs w:val="15"/>
          <w:highlight w:val="none"/>
        </w:rPr>
        <w:t>试件；</w:t>
      </w:r>
      <w:r>
        <w:rPr>
          <w:rFonts w:hint="default" w:ascii="Times New Roman" w:hAnsi="Times New Roman" w:cs="Times New Roman"/>
          <w:color w:val="auto"/>
          <w:kern w:val="0"/>
          <w:sz w:val="15"/>
          <w:szCs w:val="15"/>
          <w:highlight w:val="none"/>
        </w:rPr>
        <w:t>9</w:t>
      </w:r>
      <w:r>
        <w:rPr>
          <w:rFonts w:ascii="Times New Roman" w:hAnsi="Times New Roman" w:cs="Times New Roman"/>
          <w:color w:val="auto"/>
          <w:kern w:val="0"/>
          <w:sz w:val="15"/>
          <w:szCs w:val="15"/>
          <w:highlight w:val="none"/>
        </w:rPr>
        <w:t>－PVC圆垫板；</w:t>
      </w:r>
      <w:r>
        <w:rPr>
          <w:rFonts w:hint="default" w:ascii="Times New Roman" w:hAnsi="Times New Roman" w:cs="Times New Roman"/>
          <w:color w:val="auto"/>
          <w:kern w:val="0"/>
          <w:sz w:val="15"/>
          <w:szCs w:val="15"/>
          <w:highlight w:val="none"/>
        </w:rPr>
        <w:t>10</w:t>
      </w:r>
      <w:r>
        <w:rPr>
          <w:rFonts w:ascii="Times New Roman" w:hAnsi="Times New Roman" w:cs="Times New Roman"/>
          <w:color w:val="auto"/>
          <w:kern w:val="0"/>
          <w:sz w:val="15"/>
          <w:szCs w:val="15"/>
          <w:highlight w:val="none"/>
        </w:rPr>
        <w:t>－圆钢套；</w:t>
      </w:r>
      <w:r>
        <w:rPr>
          <w:rFonts w:hint="default" w:ascii="Times New Roman" w:hAnsi="Times New Roman" w:cs="Times New Roman"/>
          <w:color w:val="auto"/>
          <w:kern w:val="0"/>
          <w:sz w:val="15"/>
          <w:szCs w:val="15"/>
          <w:highlight w:val="none"/>
        </w:rPr>
        <w:t>11</w:t>
      </w:r>
      <w:r>
        <w:rPr>
          <w:rFonts w:ascii="Times New Roman" w:hAnsi="Times New Roman" w:cs="Times New Roman"/>
          <w:color w:val="auto"/>
          <w:kern w:val="0"/>
          <w:sz w:val="15"/>
          <w:szCs w:val="15"/>
          <w:highlight w:val="none"/>
        </w:rPr>
        <w:t>－底板；</w:t>
      </w:r>
      <w:r>
        <w:rPr>
          <w:rFonts w:hint="default" w:ascii="Times New Roman" w:hAnsi="Times New Roman" w:cs="Times New Roman"/>
          <w:color w:val="auto"/>
          <w:kern w:val="0"/>
          <w:sz w:val="15"/>
          <w:szCs w:val="15"/>
          <w:highlight w:val="none"/>
        </w:rPr>
        <w:t>12</w:t>
      </w:r>
      <w:r>
        <w:rPr>
          <w:rFonts w:ascii="Times New Roman" w:hAnsi="Times New Roman" w:cs="Times New Roman"/>
          <w:color w:val="auto"/>
          <w:kern w:val="0"/>
          <w:sz w:val="15"/>
          <w:szCs w:val="15"/>
          <w:highlight w:val="none"/>
        </w:rPr>
        <w:t>－充气橡胶囊；1</w:t>
      </w:r>
      <w:r>
        <w:rPr>
          <w:rFonts w:hint="default" w:ascii="Times New Roman" w:hAnsi="Times New Roman" w:cs="Times New Roman"/>
          <w:color w:val="auto"/>
          <w:kern w:val="0"/>
          <w:sz w:val="15"/>
          <w:szCs w:val="15"/>
          <w:highlight w:val="none"/>
        </w:rPr>
        <w:t>3</w:t>
      </w:r>
      <w:r>
        <w:rPr>
          <w:rFonts w:ascii="Times New Roman" w:hAnsi="Times New Roman" w:cs="Times New Roman"/>
          <w:color w:val="auto"/>
          <w:kern w:val="0"/>
          <w:sz w:val="15"/>
          <w:szCs w:val="15"/>
          <w:highlight w:val="none"/>
        </w:rPr>
        <w:t>－橡胶密封套；1</w:t>
      </w:r>
      <w:r>
        <w:rPr>
          <w:rFonts w:hint="default" w:ascii="Times New Roman" w:hAnsi="Times New Roman" w:cs="Times New Roman"/>
          <w:color w:val="auto"/>
          <w:kern w:val="0"/>
          <w:sz w:val="15"/>
          <w:szCs w:val="15"/>
          <w:highlight w:val="none"/>
        </w:rPr>
        <w:t>4</w:t>
      </w:r>
      <w:r>
        <w:rPr>
          <w:rFonts w:ascii="Times New Roman" w:hAnsi="Times New Roman" w:cs="Times New Roman"/>
          <w:color w:val="auto"/>
          <w:kern w:val="0"/>
          <w:sz w:val="15"/>
          <w:szCs w:val="15"/>
          <w:highlight w:val="none"/>
        </w:rPr>
        <w:t>－顶板；1</w:t>
      </w:r>
      <w:r>
        <w:rPr>
          <w:rFonts w:hint="default" w:ascii="Times New Roman" w:hAnsi="Times New Roman" w:cs="Times New Roman"/>
          <w:color w:val="auto"/>
          <w:kern w:val="0"/>
          <w:sz w:val="15"/>
          <w:szCs w:val="15"/>
          <w:highlight w:val="none"/>
        </w:rPr>
        <w:t>5</w:t>
      </w:r>
      <w:r>
        <w:rPr>
          <w:rFonts w:ascii="Times New Roman" w:hAnsi="Times New Roman" w:cs="Times New Roman"/>
          <w:color w:val="auto"/>
          <w:kern w:val="0"/>
          <w:sz w:val="15"/>
          <w:szCs w:val="15"/>
          <w:highlight w:val="none"/>
        </w:rPr>
        <w:t>－橡胶套进气嘴；1</w:t>
      </w:r>
      <w:r>
        <w:rPr>
          <w:rFonts w:hint="default" w:ascii="Times New Roman" w:hAnsi="Times New Roman" w:cs="Times New Roman"/>
          <w:color w:val="auto"/>
          <w:kern w:val="0"/>
          <w:sz w:val="15"/>
          <w:szCs w:val="15"/>
          <w:highlight w:val="none"/>
        </w:rPr>
        <w:t>6</w:t>
      </w:r>
      <w:r>
        <w:rPr>
          <w:rFonts w:ascii="Times New Roman" w:hAnsi="Times New Roman" w:cs="Times New Roman"/>
          <w:color w:val="auto"/>
          <w:kern w:val="0"/>
          <w:sz w:val="15"/>
          <w:szCs w:val="15"/>
          <w:highlight w:val="none"/>
        </w:rPr>
        <w:t>－渗透单元进气嘴；1</w:t>
      </w:r>
      <w:r>
        <w:rPr>
          <w:rFonts w:hint="default" w:ascii="Times New Roman" w:hAnsi="Times New Roman" w:cs="Times New Roman"/>
          <w:color w:val="auto"/>
          <w:kern w:val="0"/>
          <w:sz w:val="15"/>
          <w:szCs w:val="15"/>
          <w:highlight w:val="none"/>
        </w:rPr>
        <w:t>7</w:t>
      </w:r>
      <w:r>
        <w:rPr>
          <w:rFonts w:ascii="Times New Roman" w:hAnsi="Times New Roman" w:cs="Times New Roman"/>
          <w:color w:val="auto"/>
          <w:kern w:val="0"/>
          <w:sz w:val="15"/>
          <w:szCs w:val="15"/>
          <w:highlight w:val="none"/>
        </w:rPr>
        <w:t>－渗透单元出气嘴；1</w:t>
      </w:r>
      <w:r>
        <w:rPr>
          <w:rFonts w:hint="default" w:ascii="Times New Roman" w:hAnsi="Times New Roman" w:cs="Times New Roman"/>
          <w:color w:val="auto"/>
          <w:kern w:val="0"/>
          <w:sz w:val="15"/>
          <w:szCs w:val="15"/>
          <w:highlight w:val="none"/>
        </w:rPr>
        <w:t>8</w:t>
      </w:r>
      <w:r>
        <w:rPr>
          <w:rFonts w:ascii="Times New Roman" w:hAnsi="Times New Roman" w:cs="Times New Roman"/>
          <w:color w:val="auto"/>
          <w:kern w:val="0"/>
          <w:sz w:val="15"/>
          <w:szCs w:val="15"/>
          <w:highlight w:val="none"/>
        </w:rPr>
        <w:t>－底板螺栓；1</w:t>
      </w:r>
      <w:r>
        <w:rPr>
          <w:rFonts w:hint="default" w:ascii="Times New Roman" w:hAnsi="Times New Roman" w:cs="Times New Roman"/>
          <w:color w:val="auto"/>
          <w:kern w:val="0"/>
          <w:sz w:val="15"/>
          <w:szCs w:val="15"/>
          <w:highlight w:val="none"/>
        </w:rPr>
        <w:t>9</w:t>
      </w:r>
      <w:r>
        <w:rPr>
          <w:rFonts w:ascii="Times New Roman" w:hAnsi="Times New Roman" w:cs="Times New Roman"/>
          <w:color w:val="auto"/>
          <w:kern w:val="0"/>
          <w:sz w:val="15"/>
          <w:szCs w:val="15"/>
          <w:highlight w:val="none"/>
        </w:rPr>
        <w:t>－顶板螺栓；</w:t>
      </w:r>
      <w:r>
        <w:rPr>
          <w:rFonts w:hint="default" w:ascii="Times New Roman" w:hAnsi="Times New Roman" w:cs="Times New Roman"/>
          <w:color w:val="auto"/>
          <w:kern w:val="0"/>
          <w:sz w:val="15"/>
          <w:szCs w:val="15"/>
          <w:highlight w:val="none"/>
        </w:rPr>
        <w:t>20</w:t>
      </w:r>
      <w:r>
        <w:rPr>
          <w:rFonts w:ascii="Times New Roman" w:hAnsi="Times New Roman" w:cs="Times New Roman"/>
          <w:color w:val="auto"/>
          <w:kern w:val="0"/>
          <w:sz w:val="15"/>
          <w:szCs w:val="15"/>
          <w:highlight w:val="none"/>
        </w:rPr>
        <w:t>－流量计；</w:t>
      </w:r>
      <w:r>
        <w:rPr>
          <w:rFonts w:hint="default" w:ascii="Times New Roman" w:hAnsi="Times New Roman" w:cs="Times New Roman"/>
          <w:color w:val="auto"/>
          <w:kern w:val="0"/>
          <w:sz w:val="15"/>
          <w:szCs w:val="15"/>
          <w:highlight w:val="none"/>
        </w:rPr>
        <w:t>21</w:t>
      </w:r>
      <w:r>
        <w:rPr>
          <w:rFonts w:ascii="Times New Roman" w:hAnsi="Times New Roman" w:cs="Times New Roman"/>
          <w:color w:val="auto"/>
          <w:kern w:val="0"/>
          <w:sz w:val="15"/>
          <w:szCs w:val="15"/>
          <w:highlight w:val="none"/>
        </w:rPr>
        <w:t>－气路管</w:t>
      </w:r>
    </w:p>
    <w:p w14:paraId="1A977B9D">
      <w:pPr>
        <w:keepNext w:val="0"/>
        <w:keepLines w:val="0"/>
        <w:pageBreakBefore w:val="0"/>
        <w:widowControl w:val="0"/>
        <w:kinsoku/>
        <w:overflowPunct/>
        <w:topLinePunct/>
        <w:autoSpaceDE/>
        <w:autoSpaceDN/>
        <w:bidi w:val="0"/>
        <w:adjustRightInd w:val="0"/>
        <w:snapToGrid w:val="0"/>
        <w:spacing w:line="360" w:lineRule="auto"/>
        <w:ind w:firstLine="420" w:firstLineChars="200"/>
        <w:textAlignment w:val="auto"/>
        <w:rPr>
          <w:rFonts w:ascii="Times New Roman" w:hAnsi="Times New Roman" w:cs="Times New Roman"/>
          <w:color w:val="auto"/>
          <w:highlight w:val="none"/>
        </w:rPr>
      </w:pPr>
      <w:r>
        <w:rPr>
          <w:rFonts w:ascii="Times New Roman" w:hAnsi="Times New Roman" w:eastAsia="黑体" w:cs="Times New Roman"/>
          <w:bCs/>
          <w:color w:val="auto"/>
          <w:szCs w:val="21"/>
          <w:highlight w:val="none"/>
        </w:rPr>
        <w:t>2</w:t>
      </w:r>
      <w:r>
        <w:rPr>
          <w:rFonts w:ascii="Times New Roman" w:hAnsi="Times New Roman" w:cs="Times New Roman"/>
          <w:color w:val="auto"/>
          <w:highlight w:val="none"/>
        </w:rPr>
        <w:t xml:space="preserve">  高压氮气瓶</w:t>
      </w:r>
      <w:r>
        <w:rPr>
          <w:rFonts w:hint="eastAsia" w:ascii="Times New Roman"/>
          <w:color w:val="000000" w:themeColor="text1"/>
          <w:highlight w:val="none"/>
          <w14:textFill>
            <w14:solidFill>
              <w14:schemeClr w14:val="tx1"/>
            </w14:solidFill>
          </w14:textFill>
        </w:rPr>
        <w:t>应</w:t>
      </w:r>
      <w:r>
        <w:rPr>
          <w:rFonts w:ascii="Times New Roman"/>
          <w:color w:val="000000" w:themeColor="text1"/>
          <w:highlight w:val="none"/>
          <w14:textFill>
            <w14:solidFill>
              <w14:schemeClr w14:val="tx1"/>
            </w14:solidFill>
          </w14:textFill>
        </w:rPr>
        <w:t>符合GB 5099</w:t>
      </w:r>
      <w:r>
        <w:rPr>
          <w:rFonts w:hint="eastAsia" w:ascii="Times New Roman"/>
          <w:color w:val="000000" w:themeColor="text1"/>
          <w:highlight w:val="none"/>
          <w14:textFill>
            <w14:solidFill>
              <w14:schemeClr w14:val="tx1"/>
            </w14:solidFill>
          </w14:textFill>
        </w:rPr>
        <w:t>.</w:t>
      </w:r>
      <w:r>
        <w:rPr>
          <w:rFonts w:ascii="Times New Roman"/>
          <w:color w:val="000000" w:themeColor="text1"/>
          <w:highlight w:val="none"/>
          <w14:textFill>
            <w14:solidFill>
              <w14:schemeClr w14:val="tx1"/>
            </w14:solidFill>
          </w14:textFill>
        </w:rPr>
        <w:t>4的规定，</w:t>
      </w:r>
      <w:r>
        <w:rPr>
          <w:rFonts w:ascii="Times New Roman" w:hAnsi="Times New Roman" w:cs="Times New Roman"/>
          <w:color w:val="auto"/>
          <w:highlight w:val="none"/>
        </w:rPr>
        <w:t>工作压力不应低于2MPa。</w:t>
      </w:r>
    </w:p>
    <w:p w14:paraId="600724C4">
      <w:pPr>
        <w:keepNext w:val="0"/>
        <w:keepLines w:val="0"/>
        <w:pageBreakBefore w:val="0"/>
        <w:widowControl w:val="0"/>
        <w:kinsoku/>
        <w:overflowPunct/>
        <w:topLinePunct/>
        <w:autoSpaceDE/>
        <w:autoSpaceDN/>
        <w:bidi w:val="0"/>
        <w:adjustRightInd w:val="0"/>
        <w:snapToGrid w:val="0"/>
        <w:spacing w:line="360" w:lineRule="auto"/>
        <w:ind w:firstLine="420" w:firstLineChars="200"/>
        <w:textAlignment w:val="auto"/>
        <w:rPr>
          <w:rFonts w:ascii="Times New Roman" w:hAnsi="Times New Roman" w:cs="Times New Roman"/>
          <w:color w:val="auto"/>
          <w:highlight w:val="none"/>
        </w:rPr>
      </w:pPr>
      <w:r>
        <w:rPr>
          <w:rFonts w:ascii="Times New Roman" w:hAnsi="Times New Roman" w:eastAsia="黑体" w:cs="Times New Roman"/>
          <w:bCs/>
          <w:color w:val="auto"/>
          <w:szCs w:val="21"/>
          <w:highlight w:val="none"/>
        </w:rPr>
        <w:t>3</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高精度压力表密封气路处压力表的量程不应小于2.5MPa，精度不应大于±0.02MPa；高精度压力表进气气路处压力表的量程不应小于1.5MPa，精度应为±0.01MPa。</w:t>
      </w:r>
    </w:p>
    <w:p w14:paraId="63E754AB">
      <w:pPr>
        <w:keepNext w:val="0"/>
        <w:keepLines w:val="0"/>
        <w:pageBreakBefore w:val="0"/>
        <w:widowControl w:val="0"/>
        <w:kinsoku/>
        <w:overflowPunct/>
        <w:topLinePunct/>
        <w:autoSpaceDE/>
        <w:autoSpaceDN/>
        <w:bidi w:val="0"/>
        <w:adjustRightInd w:val="0"/>
        <w:snapToGrid w:val="0"/>
        <w:spacing w:line="360" w:lineRule="auto"/>
        <w:ind w:firstLine="420" w:firstLineChars="200"/>
        <w:textAlignment w:val="auto"/>
        <w:rPr>
          <w:rFonts w:ascii="Times New Roman" w:hAnsi="Times New Roman" w:cs="Times New Roman"/>
          <w:color w:val="auto"/>
          <w:highlight w:val="none"/>
        </w:rPr>
      </w:pPr>
      <w:r>
        <w:rPr>
          <w:rFonts w:ascii="Times New Roman" w:hAnsi="Times New Roman" w:eastAsia="黑体" w:cs="Times New Roman"/>
          <w:bCs/>
          <w:color w:val="auto"/>
          <w:szCs w:val="21"/>
          <w:highlight w:val="none"/>
        </w:rPr>
        <w:t>4</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皂膜</w:t>
      </w:r>
      <w:r>
        <w:rPr>
          <w:rFonts w:ascii="Times New Roman" w:hAnsi="Times New Roman" w:cs="Times New Roman"/>
          <w:color w:val="auto"/>
          <w:highlight w:val="none"/>
        </w:rPr>
        <w:t>流量计量程宜为</w:t>
      </w:r>
      <w:r>
        <w:rPr>
          <w:rFonts w:hint="default" w:ascii="Times New Roman" w:hAnsi="Times New Roman" w:cs="Times New Roman"/>
          <w:color w:val="auto"/>
          <w:highlight w:val="none"/>
        </w:rPr>
        <w:t>（0.1~</w:t>
      </w:r>
      <w:r>
        <w:rPr>
          <w:rFonts w:ascii="Times New Roman" w:hAnsi="Times New Roman" w:cs="Times New Roman"/>
          <w:color w:val="auto"/>
          <w:highlight w:val="none"/>
        </w:rPr>
        <w:t>100</w:t>
      </w:r>
      <w:r>
        <w:rPr>
          <w:rFonts w:hint="default" w:ascii="Times New Roman" w:hAnsi="Times New Roman" w:cs="Times New Roman"/>
          <w:color w:val="auto"/>
          <w:highlight w:val="none"/>
        </w:rPr>
        <w:t>）</w:t>
      </w:r>
      <w:r>
        <w:rPr>
          <w:rFonts w:ascii="Times New Roman" w:hAnsi="Times New Roman" w:cs="Times New Roman"/>
          <w:color w:val="auto"/>
          <w:highlight w:val="none"/>
        </w:rPr>
        <w:t>mL/min</w:t>
      </w:r>
      <w:r>
        <w:rPr>
          <w:rFonts w:hint="default" w:ascii="Times New Roman" w:hAnsi="Times New Roman" w:cs="Times New Roman"/>
          <w:color w:val="auto"/>
          <w:highlight w:val="none"/>
        </w:rPr>
        <w:t>，</w:t>
      </w:r>
      <w:r>
        <w:rPr>
          <w:rFonts w:ascii="Times New Roman" w:hAnsi="Times New Roman" w:cs="Times New Roman"/>
          <w:color w:val="auto"/>
          <w:highlight w:val="none"/>
        </w:rPr>
        <w:t>精度不应小于</w:t>
      </w:r>
      <w:r>
        <w:rPr>
          <w:rFonts w:hint="default" w:ascii="Times New Roman" w:hAnsi="Times New Roman" w:cs="Times New Roman"/>
          <w:color w:val="auto"/>
          <w:highlight w:val="none"/>
        </w:rPr>
        <w:t>±0.01mL/min</w:t>
      </w:r>
      <w:r>
        <w:rPr>
          <w:rFonts w:ascii="Times New Roman" w:hAnsi="Times New Roman" w:cs="Times New Roman"/>
          <w:color w:val="auto"/>
          <w:highlight w:val="none"/>
        </w:rPr>
        <w:t>。</w:t>
      </w:r>
    </w:p>
    <w:p w14:paraId="4F969DF2">
      <w:pPr>
        <w:keepNext w:val="0"/>
        <w:keepLines w:val="0"/>
        <w:pageBreakBefore w:val="0"/>
        <w:widowControl w:val="0"/>
        <w:kinsoku/>
        <w:overflowPunct/>
        <w:autoSpaceDE/>
        <w:autoSpaceDN/>
        <w:bidi w:val="0"/>
        <w:spacing w:line="360" w:lineRule="auto"/>
        <w:textAlignment w:val="auto"/>
        <w:rPr>
          <w:rFonts w:hint="default" w:ascii="Times New Roman" w:hAnsi="Times New Roman" w:eastAsia="宋体" w:cs="Times New Roman"/>
          <w:color w:val="auto"/>
          <w:highlight w:val="none"/>
          <w:lang w:eastAsia="zh-CN"/>
        </w:rPr>
      </w:pPr>
      <w:r>
        <w:rPr>
          <w:rFonts w:hint="default" w:ascii="Times New Roman" w:hAnsi="Times New Roman" w:eastAsia="黑体" w:cs="Times New Roman"/>
          <w:bCs/>
          <w:color w:val="auto"/>
          <w:szCs w:val="21"/>
          <w:highlight w:val="none"/>
          <w:lang w:eastAsia="zh-CN"/>
        </w:rPr>
        <w:t>7.</w:t>
      </w:r>
      <w:r>
        <w:rPr>
          <w:rFonts w:hint="eastAsia" w:eastAsia="黑体" w:cs="Times New Roman"/>
          <w:bCs/>
          <w:color w:val="auto"/>
          <w:szCs w:val="21"/>
          <w:highlight w:val="none"/>
          <w:lang w:val="en-US" w:eastAsia="zh-CN"/>
        </w:rPr>
        <w:t>6</w:t>
      </w:r>
      <w:r>
        <w:rPr>
          <w:rFonts w:ascii="Times New Roman" w:hAnsi="Times New Roman" w:eastAsia="黑体" w:cs="Times New Roman"/>
          <w:bCs/>
          <w:color w:val="auto"/>
          <w:szCs w:val="21"/>
          <w:highlight w:val="none"/>
        </w:rPr>
        <w:t>.3</w:t>
      </w:r>
      <w:r>
        <w:rPr>
          <w:rFonts w:ascii="Times New Roman" w:hAnsi="Times New Roman" w:cs="Times New Roman"/>
          <w:color w:val="auto"/>
          <w:highlight w:val="none"/>
        </w:rPr>
        <w:t xml:space="preserve"> 试件制作和处理应符合下列规定</w:t>
      </w:r>
      <w:r>
        <w:rPr>
          <w:rFonts w:hint="default" w:ascii="Times New Roman" w:hAnsi="Times New Roman" w:cs="Times New Roman"/>
          <w:color w:val="auto"/>
          <w:highlight w:val="none"/>
          <w:lang w:eastAsia="zh-CN"/>
        </w:rPr>
        <w:t>：</w:t>
      </w:r>
    </w:p>
    <w:p w14:paraId="76A4DFD1">
      <w:pPr>
        <w:keepNext w:val="0"/>
        <w:keepLines w:val="0"/>
        <w:pageBreakBefore w:val="0"/>
        <w:widowControl w:val="0"/>
        <w:kinsoku/>
        <w:overflowPunct/>
        <w:topLinePunct/>
        <w:autoSpaceDE/>
        <w:autoSpaceDN/>
        <w:bidi w:val="0"/>
        <w:adjustRightInd w:val="0"/>
        <w:snapToGrid w:val="0"/>
        <w:spacing w:line="360" w:lineRule="auto"/>
        <w:ind w:firstLine="420" w:firstLineChars="200"/>
        <w:textAlignment w:val="auto"/>
        <w:rPr>
          <w:rFonts w:ascii="Times New Roman" w:hAnsi="Times New Roman" w:cs="Times New Roman"/>
          <w:color w:val="auto"/>
          <w:highlight w:val="none"/>
        </w:rPr>
      </w:pPr>
      <w:r>
        <w:rPr>
          <w:rFonts w:ascii="Times New Roman" w:hAnsi="Times New Roman" w:eastAsia="黑体" w:cs="Times New Roman"/>
          <w:bCs/>
          <w:color w:val="auto"/>
          <w:szCs w:val="21"/>
          <w:highlight w:val="none"/>
        </w:rPr>
        <w:t xml:space="preserve">1  </w:t>
      </w:r>
      <w:r>
        <w:rPr>
          <w:rFonts w:ascii="Times New Roman" w:hAnsi="Times New Roman" w:cs="Times New Roman"/>
          <w:color w:val="auto"/>
          <w:highlight w:val="none"/>
        </w:rPr>
        <w:t>抗气体渗透试验用试件应采用直径为（150±1）mm</w:t>
      </w:r>
      <w:r>
        <w:rPr>
          <w:rFonts w:hint="default" w:ascii="Times New Roman" w:hAnsi="Times New Roman" w:cs="Times New Roman"/>
          <w:color w:val="auto"/>
          <w:highlight w:val="none"/>
          <w:lang w:eastAsia="zh-CN"/>
        </w:rPr>
        <w:t>、</w:t>
      </w:r>
      <w:r>
        <w:rPr>
          <w:rFonts w:ascii="Times New Roman" w:hAnsi="Times New Roman" w:cs="Times New Roman"/>
          <w:color w:val="auto"/>
          <w:highlight w:val="none"/>
        </w:rPr>
        <w:t>高度为（</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0</w:t>
      </w:r>
      <w:r>
        <w:rPr>
          <w:rFonts w:ascii="Times New Roman" w:hAnsi="Times New Roman" w:cs="Times New Roman"/>
          <w:color w:val="auto"/>
          <w:highlight w:val="none"/>
        </w:rPr>
        <w:t>±</w:t>
      </w:r>
      <w:r>
        <w:rPr>
          <w:rFonts w:hint="eastAsia" w:cs="Times New Roman"/>
          <w:color w:val="auto"/>
          <w:highlight w:val="none"/>
          <w:lang w:val="en-US" w:eastAsia="zh-CN"/>
        </w:rPr>
        <w:t>1</w:t>
      </w:r>
      <w:r>
        <w:rPr>
          <w:rFonts w:ascii="Times New Roman" w:hAnsi="Times New Roman" w:cs="Times New Roman"/>
          <w:color w:val="auto"/>
          <w:highlight w:val="none"/>
        </w:rPr>
        <w:t>）</w:t>
      </w:r>
      <w:r>
        <w:rPr>
          <w:rFonts w:hint="default" w:ascii="Times New Roman" w:hAnsi="Times New Roman" w:cs="Times New Roman"/>
          <w:color w:val="auto"/>
          <w:highlight w:val="none"/>
        </w:rPr>
        <w:t>mm</w:t>
      </w:r>
      <w:r>
        <w:rPr>
          <w:rFonts w:ascii="Times New Roman" w:hAnsi="Times New Roman" w:cs="Times New Roman"/>
          <w:color w:val="auto"/>
          <w:highlight w:val="none"/>
        </w:rPr>
        <w:t>的圆柱体试件。每组试件应为3块。</w:t>
      </w:r>
    </w:p>
    <w:p w14:paraId="234127CB">
      <w:pPr>
        <w:keepNext w:val="0"/>
        <w:keepLines w:val="0"/>
        <w:pageBreakBefore w:val="0"/>
        <w:widowControl w:val="0"/>
        <w:kinsoku/>
        <w:overflowPunct/>
        <w:topLinePunct/>
        <w:autoSpaceDE/>
        <w:autoSpaceDN/>
        <w:bidi w:val="0"/>
        <w:adjustRightInd w:val="0"/>
        <w:snapToGrid w:val="0"/>
        <w:spacing w:line="360" w:lineRule="auto"/>
        <w:ind w:firstLine="420" w:firstLineChars="200"/>
        <w:textAlignment w:val="auto"/>
        <w:rPr>
          <w:rFonts w:ascii="Times New Roman" w:hAnsi="Times New Roman" w:cs="Times New Roman"/>
          <w:color w:val="auto"/>
          <w:highlight w:val="none"/>
        </w:rPr>
      </w:pPr>
      <w:r>
        <w:rPr>
          <w:rFonts w:ascii="Times New Roman" w:hAnsi="Times New Roman" w:eastAsia="黑体" w:cs="Times New Roman"/>
          <w:bCs/>
          <w:color w:val="auto"/>
          <w:szCs w:val="21"/>
          <w:highlight w:val="none"/>
        </w:rPr>
        <w:t>2</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宜使用Φ150mm×300mm试模。试件成型后应立即用塑料薄膜覆盖并移至温度为20℃±5℃、相对湿度大于50%的室内静置1d~2d。自然养护类超高性能混凝土，试件拆模后应立即放入标准养护室进行养护，标准养护室的温度和相对湿度应符合GB/T 50081的规定，试件的养护龄期为28d。热养护类超高性能混凝土，试件拆模后放入蒸汽养护箱，以不大于15℃/h的速率升温至90℃±1℃，恒温48h，然后以不大于15℃/h的速率降温至室温，试件从蒸汽养护箱中取出后放置在自然环境中至7d龄期。</w:t>
      </w:r>
    </w:p>
    <w:p w14:paraId="4227B874">
      <w:pPr>
        <w:keepNext w:val="0"/>
        <w:keepLines w:val="0"/>
        <w:pageBreakBefore w:val="0"/>
        <w:widowControl w:val="0"/>
        <w:kinsoku/>
        <w:overflowPunct/>
        <w:topLinePunct/>
        <w:autoSpaceDE/>
        <w:autoSpaceDN/>
        <w:bidi w:val="0"/>
        <w:adjustRightInd w:val="0"/>
        <w:snapToGrid w:val="0"/>
        <w:spacing w:line="360" w:lineRule="auto"/>
        <w:ind w:firstLine="420" w:firstLineChars="200"/>
        <w:textAlignment w:val="auto"/>
        <w:rPr>
          <w:rFonts w:ascii="Times New Roman" w:hAnsi="Times New Roman" w:cs="Times New Roman"/>
          <w:color w:val="auto"/>
          <w:highlight w:val="none"/>
        </w:rPr>
      </w:pPr>
      <w:r>
        <w:rPr>
          <w:rFonts w:ascii="Times New Roman" w:hAnsi="Times New Roman" w:eastAsia="黑体" w:cs="Times New Roman"/>
          <w:bCs/>
          <w:color w:val="auto"/>
          <w:szCs w:val="21"/>
          <w:highlight w:val="none"/>
        </w:rPr>
        <w:t>3</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试件</w:t>
      </w:r>
      <w:r>
        <w:rPr>
          <w:rFonts w:ascii="Times New Roman" w:hAnsi="Times New Roman" w:cs="Times New Roman"/>
          <w:color w:val="auto"/>
          <w:highlight w:val="none"/>
        </w:rPr>
        <w:t>达到龄期后，应从试件中切取3个高度为（</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0</w:t>
      </w:r>
      <w:r>
        <w:rPr>
          <w:rFonts w:ascii="Times New Roman" w:hAnsi="Times New Roman" w:cs="Times New Roman"/>
          <w:color w:val="auto"/>
          <w:highlight w:val="none"/>
        </w:rPr>
        <w:t>±</w:t>
      </w:r>
      <w:r>
        <w:rPr>
          <w:rFonts w:hint="eastAsia" w:cs="Times New Roman"/>
          <w:color w:val="auto"/>
          <w:highlight w:val="none"/>
          <w:lang w:val="en-US" w:eastAsia="zh-CN"/>
        </w:rPr>
        <w:t>1</w:t>
      </w:r>
      <w:r>
        <w:rPr>
          <w:rFonts w:ascii="Times New Roman" w:hAnsi="Times New Roman" w:cs="Times New Roman"/>
          <w:color w:val="auto"/>
          <w:highlight w:val="none"/>
        </w:rPr>
        <w:t>）mm的圆柱体作为试验用试件。</w:t>
      </w:r>
      <w:r>
        <w:rPr>
          <w:rFonts w:hint="eastAsia"/>
          <w:color w:val="000000" w:themeColor="text1"/>
          <w:highlight w:val="none"/>
          <w14:textFill>
            <w14:solidFill>
              <w14:schemeClr w14:val="tx1"/>
            </w14:solidFill>
          </w14:textFill>
        </w:rPr>
        <w:t>试件应去除边角部位露出表面的纤维，</w:t>
      </w:r>
      <w:r>
        <w:rPr>
          <w:rFonts w:ascii="Times New Roman" w:hAnsi="Times New Roman" w:cs="Times New Roman"/>
          <w:color w:val="auto"/>
          <w:highlight w:val="none"/>
        </w:rPr>
        <w:t>试件两个端面应采用水砂纸和细锉刀打磨光滑。</w:t>
      </w:r>
    </w:p>
    <w:p w14:paraId="118CC495">
      <w:pPr>
        <w:keepNext w:val="0"/>
        <w:keepLines w:val="0"/>
        <w:pageBreakBefore w:val="0"/>
        <w:widowControl w:val="0"/>
        <w:kinsoku/>
        <w:overflowPunct/>
        <w:topLinePunct/>
        <w:autoSpaceDE/>
        <w:autoSpaceDN/>
        <w:bidi w:val="0"/>
        <w:adjustRightInd w:val="0"/>
        <w:snapToGrid w:val="0"/>
        <w:spacing w:line="360" w:lineRule="auto"/>
        <w:ind w:firstLine="420" w:firstLineChars="200"/>
        <w:textAlignment w:val="auto"/>
        <w:rPr>
          <w:rFonts w:ascii="Times New Roman" w:hAnsi="Times New Roman" w:cs="Times New Roman"/>
          <w:color w:val="auto"/>
          <w:highlight w:val="none"/>
        </w:rPr>
      </w:pPr>
      <w:r>
        <w:rPr>
          <w:rFonts w:ascii="Times New Roman" w:hAnsi="Times New Roman" w:eastAsia="黑体" w:cs="Times New Roman"/>
          <w:bCs/>
          <w:color w:val="auto"/>
          <w:szCs w:val="21"/>
          <w:highlight w:val="none"/>
        </w:rPr>
        <w:t xml:space="preserve">4  </w:t>
      </w:r>
      <w:r>
        <w:rPr>
          <w:rFonts w:ascii="Times New Roman" w:hAnsi="Times New Roman" w:cs="Times New Roman"/>
          <w:color w:val="auto"/>
          <w:highlight w:val="none"/>
        </w:rPr>
        <w:t>应将加工密封好的试件放入烘箱中，在（60±5）℃下烘干7d。烘干结束后应将试件移入温度为（20±2）℃、相对湿度为（60±5）%的恒温恒湿条件下静置14d。</w:t>
      </w:r>
    </w:p>
    <w:p w14:paraId="2DCA9298">
      <w:pPr>
        <w:keepNext w:val="0"/>
        <w:keepLines w:val="0"/>
        <w:pageBreakBefore w:val="0"/>
        <w:widowControl w:val="0"/>
        <w:kinsoku/>
        <w:overflowPunct/>
        <w:topLinePunct/>
        <w:autoSpaceDE/>
        <w:autoSpaceDN/>
        <w:bidi w:val="0"/>
        <w:adjustRightInd w:val="0"/>
        <w:snapToGrid w:val="0"/>
        <w:spacing w:line="360" w:lineRule="auto"/>
        <w:ind w:firstLine="420" w:firstLineChars="200"/>
        <w:textAlignment w:val="auto"/>
        <w:rPr>
          <w:rFonts w:hint="default" w:cs="Times New Roman"/>
          <w:color w:val="auto"/>
          <w:highlight w:val="none"/>
          <w:lang w:val="en-US" w:eastAsia="zh-CN"/>
        </w:rPr>
      </w:pPr>
      <w:r>
        <w:rPr>
          <w:rFonts w:hint="eastAsia" w:eastAsia="黑体" w:cs="Times New Roman"/>
          <w:bCs/>
          <w:color w:val="auto"/>
          <w:szCs w:val="21"/>
          <w:highlight w:val="none"/>
          <w:lang w:val="en-US" w:eastAsia="zh-CN"/>
        </w:rPr>
        <w:t>5</w:t>
      </w:r>
      <w:r>
        <w:rPr>
          <w:rFonts w:ascii="Times New Roman" w:hAnsi="Times New Roman" w:eastAsia="黑体" w:cs="Times New Roman"/>
          <w:bCs/>
          <w:color w:val="auto"/>
          <w:szCs w:val="21"/>
          <w:highlight w:val="none"/>
        </w:rPr>
        <w:t xml:space="preserve">  </w:t>
      </w:r>
      <w:r>
        <w:rPr>
          <w:color w:val="000000" w:themeColor="text1"/>
          <w:highlight w:val="none"/>
          <w14:textFill>
            <w14:solidFill>
              <w14:schemeClr w14:val="tx1"/>
            </w14:solidFill>
          </w14:textFill>
        </w:rPr>
        <w:t>用环氧树脂涂覆圆柱体</w:t>
      </w:r>
      <w:r>
        <w:rPr>
          <w:rFonts w:hint="eastAsia"/>
          <w:color w:val="000000" w:themeColor="text1"/>
          <w:highlight w:val="none"/>
          <w14:textFill>
            <w14:solidFill>
              <w14:schemeClr w14:val="tx1"/>
            </w14:solidFill>
          </w14:textFill>
        </w:rPr>
        <w:t>超高性能</w:t>
      </w:r>
      <w:r>
        <w:rPr>
          <w:color w:val="000000" w:themeColor="text1"/>
          <w:highlight w:val="none"/>
          <w14:textFill>
            <w14:solidFill>
              <w14:schemeClr w14:val="tx1"/>
            </w14:solidFill>
          </w14:textFill>
        </w:rPr>
        <w:t>混凝土试件侧面</w:t>
      </w:r>
      <w:r>
        <w:rPr>
          <w:rFonts w:hint="eastAsia"/>
          <w:color w:val="000000" w:themeColor="text1"/>
          <w:highlight w:val="none"/>
          <w14:textFill>
            <w14:solidFill>
              <w14:schemeClr w14:val="tx1"/>
            </w14:solidFill>
          </w14:textFill>
        </w:rPr>
        <w:t>进行</w:t>
      </w:r>
      <w:r>
        <w:rPr>
          <w:color w:val="000000" w:themeColor="text1"/>
          <w:highlight w:val="none"/>
          <w14:textFill>
            <w14:solidFill>
              <w14:schemeClr w14:val="tx1"/>
            </w14:solidFill>
          </w14:textFill>
        </w:rPr>
        <w:t>密封。</w:t>
      </w:r>
      <w:r>
        <w:rPr>
          <w:color w:val="000000"/>
          <w:szCs w:val="21"/>
          <w:highlight w:val="none"/>
        </w:rPr>
        <w:t>涂覆时应注意填补</w:t>
      </w:r>
      <w:r>
        <w:rPr>
          <w:rFonts w:hint="eastAsia"/>
          <w:color w:val="000000"/>
          <w:szCs w:val="21"/>
          <w:highlight w:val="none"/>
        </w:rPr>
        <w:t>超高性能</w:t>
      </w:r>
      <w:r>
        <w:rPr>
          <w:color w:val="000000"/>
          <w:szCs w:val="21"/>
          <w:highlight w:val="none"/>
        </w:rPr>
        <w:t>混凝土</w:t>
      </w:r>
      <w:r>
        <w:rPr>
          <w:rFonts w:hint="eastAsia"/>
          <w:color w:val="000000"/>
          <w:szCs w:val="21"/>
          <w:highlight w:val="none"/>
        </w:rPr>
        <w:t>试件</w:t>
      </w:r>
      <w:r>
        <w:rPr>
          <w:color w:val="000000"/>
          <w:szCs w:val="21"/>
          <w:highlight w:val="none"/>
        </w:rPr>
        <w:t>侧边的孔洞</w:t>
      </w:r>
      <w:r>
        <w:rPr>
          <w:color w:val="000000" w:themeColor="text1"/>
          <w:highlight w:val="none"/>
          <w14:textFill>
            <w14:solidFill>
              <w14:schemeClr w14:val="tx1"/>
            </w14:solidFill>
          </w14:textFill>
        </w:rPr>
        <w:t>并应注意密封材料涂覆的表面平整度。涂完后将圆柱体混凝土试件放置在温度为</w:t>
      </w:r>
      <w:r>
        <w:rPr>
          <w:rFonts w:ascii="Times New Roman" w:hAnsi="Times New Roman" w:cs="Times New Roman"/>
          <w:color w:val="auto"/>
          <w:highlight w:val="none"/>
        </w:rPr>
        <w:t>（20±2）</w:t>
      </w:r>
      <w:r>
        <w:rPr>
          <w:color w:val="000000" w:themeColor="text1"/>
          <w:highlight w:val="none"/>
          <w14:textFill>
            <w14:solidFill>
              <w14:schemeClr w14:val="tx1"/>
            </w14:solidFill>
          </w14:textFill>
        </w:rPr>
        <w:t>ºC、</w:t>
      </w:r>
      <w:r>
        <w:rPr>
          <w:rFonts w:hint="eastAsia"/>
          <w:color w:val="000000" w:themeColor="text1"/>
          <w:highlight w:val="none"/>
          <w14:textFill>
            <w14:solidFill>
              <w14:schemeClr w14:val="tx1"/>
            </w14:solidFill>
          </w14:textFill>
        </w:rPr>
        <w:t>相对</w:t>
      </w:r>
      <w:r>
        <w:rPr>
          <w:color w:val="000000" w:themeColor="text1"/>
          <w:highlight w:val="none"/>
          <w14:textFill>
            <w14:solidFill>
              <w14:schemeClr w14:val="tx1"/>
            </w14:solidFill>
          </w14:textFill>
        </w:rPr>
        <w:t>湿度为</w:t>
      </w:r>
      <w:r>
        <w:rPr>
          <w:rFonts w:ascii="Times New Roman" w:hAnsi="Times New Roman" w:cs="Times New Roman"/>
          <w:color w:val="auto"/>
          <w:highlight w:val="none"/>
        </w:rPr>
        <w:t>（60±5）</w:t>
      </w:r>
      <w:r>
        <w:rPr>
          <w:color w:val="000000" w:themeColor="text1"/>
          <w:highlight w:val="none"/>
          <w14:textFill>
            <w14:solidFill>
              <w14:schemeClr w14:val="tx1"/>
            </w14:solidFill>
          </w14:textFill>
        </w:rPr>
        <w:t>%的环境中不少于24h至密封材料固化。</w:t>
      </w:r>
    </w:p>
    <w:p w14:paraId="1B5E6170">
      <w:pPr>
        <w:keepNext w:val="0"/>
        <w:keepLines w:val="0"/>
        <w:pageBreakBefore w:val="0"/>
        <w:widowControl w:val="0"/>
        <w:kinsoku/>
        <w:overflowPunct/>
        <w:autoSpaceDE/>
        <w:autoSpaceDN/>
        <w:bidi w:val="0"/>
        <w:spacing w:line="360" w:lineRule="auto"/>
        <w:textAlignment w:val="auto"/>
        <w:rPr>
          <w:rFonts w:ascii="Times New Roman" w:hAnsi="Times New Roman" w:cs="Times New Roman"/>
          <w:color w:val="auto"/>
          <w:highlight w:val="none"/>
        </w:rPr>
      </w:pPr>
      <w:r>
        <w:rPr>
          <w:rFonts w:hint="default" w:ascii="Times New Roman" w:hAnsi="Times New Roman" w:eastAsia="黑体" w:cs="Times New Roman"/>
          <w:bCs/>
          <w:color w:val="auto"/>
          <w:szCs w:val="21"/>
          <w:highlight w:val="none"/>
          <w:lang w:eastAsia="zh-CN"/>
        </w:rPr>
        <w:t>7.</w:t>
      </w:r>
      <w:r>
        <w:rPr>
          <w:rFonts w:hint="eastAsia" w:eastAsia="黑体" w:cs="Times New Roman"/>
          <w:bCs/>
          <w:color w:val="auto"/>
          <w:szCs w:val="21"/>
          <w:highlight w:val="none"/>
          <w:lang w:val="en-US" w:eastAsia="zh-CN"/>
        </w:rPr>
        <w:t>6</w:t>
      </w:r>
      <w:r>
        <w:rPr>
          <w:rFonts w:ascii="Times New Roman" w:hAnsi="Times New Roman" w:eastAsia="黑体" w:cs="Times New Roman"/>
          <w:bCs/>
          <w:color w:val="auto"/>
          <w:szCs w:val="21"/>
          <w:highlight w:val="none"/>
        </w:rPr>
        <w:t>.4</w:t>
      </w:r>
      <w:r>
        <w:rPr>
          <w:rFonts w:ascii="Times New Roman" w:hAnsi="Times New Roman" w:cs="Times New Roman"/>
          <w:color w:val="auto"/>
          <w:highlight w:val="none"/>
        </w:rPr>
        <w:t xml:space="preserve"> 抗气体渗透试验应按下列步骤进行：</w:t>
      </w:r>
    </w:p>
    <w:p w14:paraId="6267ED36">
      <w:pPr>
        <w:topLinePunct/>
        <w:adjustRightInd w:val="0"/>
        <w:snapToGrid w:val="0"/>
        <w:spacing w:line="360" w:lineRule="auto"/>
        <w:ind w:firstLine="420" w:firstLineChars="200"/>
        <w:rPr>
          <w:color w:val="auto"/>
          <w:highlight w:val="none"/>
        </w:rPr>
      </w:pPr>
      <w:r>
        <w:rPr>
          <w:rFonts w:hint="eastAsia" w:eastAsia="黑体" w:cs="Times New Roman"/>
          <w:bCs/>
          <w:color w:val="auto"/>
          <w:szCs w:val="21"/>
          <w:highlight w:val="none"/>
          <w:lang w:val="en-US" w:eastAsia="zh-CN"/>
        </w:rPr>
        <w:t>1</w:t>
      </w:r>
      <w:r>
        <w:rPr>
          <w:rFonts w:ascii="Times New Roman" w:hAnsi="Times New Roman" w:cs="Times New Roman"/>
          <w:color w:val="auto"/>
          <w:highlight w:val="none"/>
        </w:rPr>
        <w:t xml:space="preserve">  </w:t>
      </w:r>
      <w:r>
        <w:rPr>
          <w:rFonts w:hint="default"/>
          <w:color w:val="auto"/>
          <w:highlight w:val="none"/>
        </w:rPr>
        <w:t>将处理好的超高性能混凝土试件装入橡胶密封套和两片P</w:t>
      </w:r>
      <w:r>
        <w:rPr>
          <w:color w:val="auto"/>
          <w:highlight w:val="none"/>
        </w:rPr>
        <w:t>VC</w:t>
      </w:r>
      <w:r>
        <w:rPr>
          <w:rFonts w:hint="default"/>
          <w:color w:val="auto"/>
          <w:highlight w:val="none"/>
        </w:rPr>
        <w:t>圆垫板之间，两片P</w:t>
      </w:r>
      <w:r>
        <w:rPr>
          <w:color w:val="auto"/>
          <w:highlight w:val="none"/>
        </w:rPr>
        <w:t>VC</w:t>
      </w:r>
      <w:r>
        <w:rPr>
          <w:rFonts w:hint="default"/>
          <w:color w:val="auto"/>
          <w:highlight w:val="none"/>
        </w:rPr>
        <w:t>圆垫板与混凝土试件的总高度应与橡胶密封套的高度一致。</w:t>
      </w:r>
    </w:p>
    <w:p w14:paraId="48041060">
      <w:pPr>
        <w:topLinePunct/>
        <w:adjustRightInd w:val="0"/>
        <w:snapToGrid w:val="0"/>
        <w:spacing w:line="360" w:lineRule="auto"/>
        <w:ind w:firstLine="420" w:firstLineChars="200"/>
        <w:rPr>
          <w:color w:val="auto"/>
          <w:highlight w:val="none"/>
        </w:rPr>
      </w:pPr>
      <w:r>
        <w:rPr>
          <w:rFonts w:hint="eastAsia" w:eastAsia="黑体" w:cs="Times New Roman"/>
          <w:bCs/>
          <w:color w:val="auto"/>
          <w:szCs w:val="21"/>
          <w:highlight w:val="none"/>
          <w:lang w:val="en-US" w:eastAsia="zh-CN"/>
        </w:rPr>
        <w:t>2</w:t>
      </w:r>
      <w:r>
        <w:rPr>
          <w:rFonts w:ascii="Times New Roman" w:hAnsi="Times New Roman" w:cs="Times New Roman"/>
          <w:color w:val="auto"/>
          <w:highlight w:val="none"/>
        </w:rPr>
        <w:t xml:space="preserve">  </w:t>
      </w:r>
      <w:r>
        <w:rPr>
          <w:rFonts w:hint="default"/>
          <w:color w:val="auto"/>
          <w:highlight w:val="none"/>
        </w:rPr>
        <w:t>按图1组装气体渗透单元并连接气路系统，组装气体渗透单元时应注意拧紧顶板螺栓，使气体渗透单元处于密闭状态。</w:t>
      </w:r>
    </w:p>
    <w:p w14:paraId="256A6EBF">
      <w:pPr>
        <w:topLinePunct/>
        <w:adjustRightInd w:val="0"/>
        <w:snapToGrid w:val="0"/>
        <w:spacing w:line="360" w:lineRule="auto"/>
        <w:ind w:firstLine="420" w:firstLineChars="200"/>
        <w:rPr>
          <w:color w:val="auto"/>
          <w:highlight w:val="none"/>
        </w:rPr>
      </w:pPr>
      <w:r>
        <w:rPr>
          <w:rFonts w:hint="eastAsia" w:eastAsia="黑体" w:cs="Times New Roman"/>
          <w:bCs/>
          <w:color w:val="auto"/>
          <w:szCs w:val="21"/>
          <w:highlight w:val="none"/>
          <w:lang w:val="en-US" w:eastAsia="zh-CN"/>
        </w:rPr>
        <w:t>3</w:t>
      </w:r>
      <w:r>
        <w:rPr>
          <w:rFonts w:ascii="Times New Roman" w:hAnsi="Times New Roman" w:cs="Times New Roman"/>
          <w:color w:val="auto"/>
          <w:highlight w:val="none"/>
        </w:rPr>
        <w:t xml:space="preserve">  </w:t>
      </w:r>
      <w:r>
        <w:rPr>
          <w:color w:val="auto"/>
          <w:highlight w:val="none"/>
        </w:rPr>
        <w:t>打开</w:t>
      </w:r>
      <w:r>
        <w:rPr>
          <w:rFonts w:hint="default"/>
          <w:color w:val="auto"/>
          <w:highlight w:val="none"/>
        </w:rPr>
        <w:t>密封</w:t>
      </w:r>
      <w:r>
        <w:rPr>
          <w:color w:val="auto"/>
          <w:highlight w:val="none"/>
        </w:rPr>
        <w:t>气路开关，应调节</w:t>
      </w:r>
      <w:r>
        <w:rPr>
          <w:rFonts w:hint="default"/>
          <w:color w:val="auto"/>
          <w:highlight w:val="none"/>
        </w:rPr>
        <w:t>密封气路</w:t>
      </w:r>
      <w:r>
        <w:rPr>
          <w:color w:val="auto"/>
          <w:highlight w:val="none"/>
        </w:rPr>
        <w:t>减压阀至橡胶囊气压恒定为</w:t>
      </w:r>
      <w:r>
        <w:rPr>
          <w:rFonts w:hint="eastAsia"/>
          <w:color w:val="auto"/>
          <w:highlight w:val="none"/>
          <w:lang w:eastAsia="zh-CN"/>
        </w:rPr>
        <w:t>（</w:t>
      </w:r>
      <w:r>
        <w:rPr>
          <w:rFonts w:hint="default"/>
          <w:color w:val="auto"/>
          <w:highlight w:val="none"/>
        </w:rPr>
        <w:t>2.0±0.1</w:t>
      </w:r>
      <w:r>
        <w:rPr>
          <w:rFonts w:hint="eastAsia"/>
          <w:color w:val="auto"/>
          <w:highlight w:val="none"/>
          <w:lang w:eastAsia="zh-CN"/>
        </w:rPr>
        <w:t>）</w:t>
      </w:r>
      <w:r>
        <w:rPr>
          <w:color w:val="auto"/>
          <w:highlight w:val="none"/>
        </w:rPr>
        <w:t>MPa</w:t>
      </w:r>
      <w:r>
        <w:rPr>
          <w:rFonts w:hint="default"/>
          <w:color w:val="auto"/>
          <w:highlight w:val="none"/>
        </w:rPr>
        <w:t>，并关闭密封</w:t>
      </w:r>
      <w:r>
        <w:rPr>
          <w:color w:val="auto"/>
          <w:highlight w:val="none"/>
        </w:rPr>
        <w:t>气路开关</w:t>
      </w:r>
      <w:r>
        <w:rPr>
          <w:rFonts w:hint="default"/>
          <w:color w:val="auto"/>
          <w:highlight w:val="none"/>
        </w:rPr>
        <w:t>进行封压</w:t>
      </w:r>
      <w:r>
        <w:rPr>
          <w:color w:val="auto"/>
          <w:highlight w:val="none"/>
        </w:rPr>
        <w:t>。</w:t>
      </w:r>
    </w:p>
    <w:p w14:paraId="7F2756A5">
      <w:pPr>
        <w:topLinePunct/>
        <w:adjustRightInd w:val="0"/>
        <w:snapToGrid w:val="0"/>
        <w:spacing w:line="360" w:lineRule="auto"/>
        <w:ind w:firstLine="420" w:firstLineChars="200"/>
        <w:rPr>
          <w:color w:val="auto"/>
          <w:highlight w:val="none"/>
        </w:rPr>
      </w:pPr>
      <w:r>
        <w:rPr>
          <w:rFonts w:ascii="Times New Roman" w:hAnsi="Times New Roman" w:eastAsia="黑体" w:cs="Times New Roman"/>
          <w:bCs/>
          <w:color w:val="auto"/>
          <w:szCs w:val="21"/>
          <w:highlight w:val="none"/>
        </w:rPr>
        <w:t>4</w:t>
      </w:r>
      <w:r>
        <w:rPr>
          <w:rFonts w:ascii="Times New Roman" w:hAnsi="Times New Roman" w:cs="Times New Roman"/>
          <w:color w:val="auto"/>
          <w:highlight w:val="none"/>
        </w:rPr>
        <w:t xml:space="preserve">  </w:t>
      </w:r>
      <w:r>
        <w:rPr>
          <w:color w:val="auto"/>
          <w:highlight w:val="none"/>
        </w:rPr>
        <w:t>打开</w:t>
      </w:r>
      <w:r>
        <w:rPr>
          <w:rFonts w:hint="default"/>
          <w:color w:val="auto"/>
          <w:highlight w:val="none"/>
        </w:rPr>
        <w:t>进气</w:t>
      </w:r>
      <w:r>
        <w:rPr>
          <w:color w:val="auto"/>
          <w:highlight w:val="none"/>
        </w:rPr>
        <w:t>气路开关，应确保试验装置的气密性</w:t>
      </w:r>
      <w:r>
        <w:rPr>
          <w:rFonts w:hint="default"/>
          <w:color w:val="auto"/>
          <w:highlight w:val="none"/>
        </w:rPr>
        <w:t>，</w:t>
      </w:r>
      <w:r>
        <w:rPr>
          <w:color w:val="auto"/>
          <w:highlight w:val="none"/>
        </w:rPr>
        <w:t>并应调节</w:t>
      </w:r>
      <w:r>
        <w:rPr>
          <w:rFonts w:hint="default"/>
          <w:color w:val="auto"/>
          <w:highlight w:val="none"/>
        </w:rPr>
        <w:t>进气</w:t>
      </w:r>
      <w:r>
        <w:rPr>
          <w:color w:val="auto"/>
          <w:highlight w:val="none"/>
        </w:rPr>
        <w:t>气路减压阀至气路压力恒定为</w:t>
      </w:r>
      <w:r>
        <w:rPr>
          <w:rFonts w:hint="eastAsia"/>
          <w:color w:val="auto"/>
          <w:highlight w:val="none"/>
          <w:lang w:eastAsia="zh-CN"/>
        </w:rPr>
        <w:t>（</w:t>
      </w:r>
      <w:r>
        <w:rPr>
          <w:color w:val="auto"/>
          <w:highlight w:val="none"/>
        </w:rPr>
        <w:t>0.</w:t>
      </w:r>
      <w:r>
        <w:rPr>
          <w:rFonts w:hint="default"/>
          <w:color w:val="auto"/>
          <w:highlight w:val="none"/>
        </w:rPr>
        <w:t>70</w:t>
      </w:r>
      <w:r>
        <w:rPr>
          <w:color w:val="auto"/>
          <w:highlight w:val="none"/>
        </w:rPr>
        <w:t xml:space="preserve"> </w:t>
      </w:r>
      <w:r>
        <w:rPr>
          <w:rFonts w:hint="default"/>
          <w:color w:val="auto"/>
          <w:highlight w:val="none"/>
        </w:rPr>
        <w:t>±0.01</w:t>
      </w:r>
      <w:r>
        <w:rPr>
          <w:rFonts w:hint="eastAsia"/>
          <w:color w:val="auto"/>
          <w:highlight w:val="none"/>
          <w:lang w:eastAsia="zh-CN"/>
        </w:rPr>
        <w:t>）</w:t>
      </w:r>
      <w:r>
        <w:rPr>
          <w:color w:val="auto"/>
          <w:highlight w:val="none"/>
        </w:rPr>
        <w:t>MPa。应在气路压力恒定</w:t>
      </w:r>
      <w:r>
        <w:rPr>
          <w:rFonts w:hint="default"/>
          <w:color w:val="auto"/>
          <w:highlight w:val="none"/>
        </w:rPr>
        <w:t>120</w:t>
      </w:r>
      <w:r>
        <w:rPr>
          <w:color w:val="auto"/>
          <w:highlight w:val="none"/>
        </w:rPr>
        <w:t>min后开始测量，每隔</w:t>
      </w:r>
      <w:r>
        <w:rPr>
          <w:rFonts w:hint="default"/>
          <w:color w:val="auto"/>
          <w:highlight w:val="none"/>
        </w:rPr>
        <w:t>3</w:t>
      </w:r>
      <w:r>
        <w:rPr>
          <w:color w:val="auto"/>
          <w:highlight w:val="none"/>
        </w:rPr>
        <w:t>min</w:t>
      </w:r>
      <w:r>
        <w:rPr>
          <w:rFonts w:hint="default"/>
          <w:color w:val="auto"/>
          <w:highlight w:val="none"/>
        </w:rPr>
        <w:t>读取</w:t>
      </w:r>
      <w:r>
        <w:rPr>
          <w:color w:val="auto"/>
          <w:highlight w:val="none"/>
        </w:rPr>
        <w:t>渗透单元出气嘴</w:t>
      </w:r>
      <w:r>
        <w:rPr>
          <w:rFonts w:hint="default"/>
          <w:color w:val="auto"/>
          <w:highlight w:val="none"/>
        </w:rPr>
        <w:t>处流量计显示的</w:t>
      </w:r>
      <w:r>
        <w:rPr>
          <w:color w:val="auto"/>
          <w:highlight w:val="none"/>
        </w:rPr>
        <w:t>气体流量，</w:t>
      </w:r>
      <w:r>
        <w:rPr>
          <w:rFonts w:hint="default"/>
          <w:color w:val="auto"/>
          <w:highlight w:val="none"/>
        </w:rPr>
        <w:t>应在30min内连续读取10次，</w:t>
      </w:r>
      <w:r>
        <w:rPr>
          <w:color w:val="auto"/>
          <w:highlight w:val="none"/>
        </w:rPr>
        <w:t>并应以</w:t>
      </w:r>
      <w:r>
        <w:rPr>
          <w:rFonts w:hint="default"/>
          <w:color w:val="auto"/>
          <w:highlight w:val="none"/>
        </w:rPr>
        <w:t>10次气体流量的平均值作为</w:t>
      </w:r>
      <w:r>
        <w:rPr>
          <w:color w:val="auto"/>
          <w:highlight w:val="none"/>
        </w:rPr>
        <w:t>气体流量测量结果。</w:t>
      </w:r>
    </w:p>
    <w:p w14:paraId="2334002A">
      <w:pPr>
        <w:keepNext w:val="0"/>
        <w:keepLines w:val="0"/>
        <w:pageBreakBefore w:val="0"/>
        <w:widowControl/>
        <w:kinsoku/>
        <w:overflowPunct/>
        <w:topLinePunct/>
        <w:autoSpaceDE/>
        <w:autoSpaceDN/>
        <w:bidi w:val="0"/>
        <w:adjustRightInd w:val="0"/>
        <w:snapToGrid w:val="0"/>
        <w:spacing w:line="360" w:lineRule="auto"/>
        <w:ind w:firstLine="420" w:firstLineChars="200"/>
        <w:textAlignment w:val="auto"/>
        <w:rPr>
          <w:rFonts w:ascii="Times New Roman" w:hAnsi="Times New Roman" w:cs="Times New Roman"/>
          <w:color w:val="auto"/>
          <w:highlight w:val="none"/>
        </w:rPr>
      </w:pPr>
      <w:r>
        <w:rPr>
          <w:rFonts w:hint="eastAsia" w:cs="Times New Roman"/>
          <w:color w:val="auto"/>
          <w:highlight w:val="none"/>
          <w:lang w:val="en-US" w:eastAsia="zh-CN"/>
        </w:rPr>
        <w:t>5</w:t>
      </w:r>
      <w:r>
        <w:rPr>
          <w:rFonts w:ascii="Times New Roman" w:hAnsi="Times New Roman" w:cs="Times New Roman"/>
          <w:color w:val="auto"/>
          <w:highlight w:val="none"/>
        </w:rPr>
        <w:t xml:space="preserve">  </w:t>
      </w:r>
      <w:r>
        <w:rPr>
          <w:color w:val="auto"/>
          <w:highlight w:val="none"/>
        </w:rPr>
        <w:t>调节</w:t>
      </w:r>
      <w:r>
        <w:rPr>
          <w:rFonts w:hint="default"/>
          <w:color w:val="auto"/>
          <w:highlight w:val="none"/>
        </w:rPr>
        <w:t>进气</w:t>
      </w:r>
      <w:r>
        <w:rPr>
          <w:color w:val="auto"/>
          <w:highlight w:val="none"/>
        </w:rPr>
        <w:t>气路减压阀调整气路压力，并应按照</w:t>
      </w:r>
      <w:r>
        <w:rPr>
          <w:rFonts w:hint="default"/>
          <w:color w:val="auto"/>
          <w:highlight w:val="none"/>
        </w:rPr>
        <w:t>步骤</w:t>
      </w:r>
      <w:r>
        <w:rPr>
          <w:rFonts w:hint="eastAsia"/>
          <w:color w:val="auto"/>
          <w:highlight w:val="none"/>
          <w:lang w:eastAsia="zh-CN"/>
        </w:rPr>
        <w:t>4</w:t>
      </w:r>
      <w:r>
        <w:rPr>
          <w:color w:val="auto"/>
          <w:highlight w:val="none"/>
        </w:rPr>
        <w:t>的规定，</w:t>
      </w:r>
      <w:r>
        <w:rPr>
          <w:rFonts w:hint="default"/>
          <w:color w:val="auto"/>
          <w:highlight w:val="none"/>
        </w:rPr>
        <w:t>依次</w:t>
      </w:r>
      <w:r>
        <w:rPr>
          <w:color w:val="auto"/>
          <w:highlight w:val="none"/>
        </w:rPr>
        <w:t>测量</w:t>
      </w:r>
      <w:r>
        <w:rPr>
          <w:rFonts w:hint="default"/>
          <w:color w:val="auto"/>
          <w:highlight w:val="none"/>
        </w:rPr>
        <w:t>进气</w:t>
      </w:r>
      <w:r>
        <w:rPr>
          <w:color w:val="auto"/>
          <w:highlight w:val="none"/>
        </w:rPr>
        <w:t>气路压力为0.</w:t>
      </w:r>
      <w:r>
        <w:rPr>
          <w:rFonts w:hint="default"/>
          <w:color w:val="auto"/>
          <w:highlight w:val="none"/>
        </w:rPr>
        <w:t>8</w:t>
      </w:r>
      <w:r>
        <w:rPr>
          <w:color w:val="auto"/>
          <w:highlight w:val="none"/>
        </w:rPr>
        <w:t>0MPa、0.</w:t>
      </w:r>
      <w:r>
        <w:rPr>
          <w:rFonts w:hint="default"/>
          <w:color w:val="auto"/>
          <w:highlight w:val="none"/>
        </w:rPr>
        <w:t>9</w:t>
      </w:r>
      <w:r>
        <w:rPr>
          <w:color w:val="auto"/>
          <w:highlight w:val="none"/>
        </w:rPr>
        <w:t>0MPa、</w:t>
      </w:r>
      <w:r>
        <w:rPr>
          <w:rFonts w:hint="default"/>
          <w:color w:val="auto"/>
          <w:highlight w:val="none"/>
        </w:rPr>
        <w:t>1.00</w:t>
      </w:r>
      <w:r>
        <w:rPr>
          <w:color w:val="auto"/>
          <w:highlight w:val="none"/>
        </w:rPr>
        <w:t>MPa时渗透单元出气嘴的气体流量。</w:t>
      </w:r>
    </w:p>
    <w:p w14:paraId="3BE0663A">
      <w:pPr>
        <w:pStyle w:val="65"/>
        <w:ind w:left="420" w:hanging="422" w:hangingChars="200"/>
        <w:outlineLvl w:val="9"/>
        <w:rPr>
          <w:rFonts w:ascii="黑体" w:hAnsi="黑体"/>
          <w:color w:val="000000" w:themeColor="text1"/>
          <w:highlight w:val="none"/>
          <w14:textFill>
            <w14:solidFill>
              <w14:schemeClr w14:val="tx1"/>
            </w14:solidFill>
          </w14:textFill>
        </w:rPr>
      </w:pPr>
      <w:r>
        <w:rPr>
          <w:rFonts w:hint="default" w:ascii="Times New Roman" w:hAnsi="Times New Roman" w:eastAsia="黑体" w:cs="Times New Roman"/>
          <w:b/>
          <w:bCs/>
          <w:color w:val="auto"/>
          <w:szCs w:val="21"/>
          <w:highlight w:val="none"/>
          <w:lang w:eastAsia="zh-CN"/>
        </w:rPr>
        <w:t>7.</w:t>
      </w:r>
      <w:r>
        <w:rPr>
          <w:rFonts w:hint="eastAsia" w:eastAsia="黑体" w:cs="Times New Roman"/>
          <w:b/>
          <w:bCs/>
          <w:color w:val="auto"/>
          <w:szCs w:val="21"/>
          <w:highlight w:val="none"/>
          <w:lang w:val="en-US" w:eastAsia="zh-CN"/>
        </w:rPr>
        <w:t>6</w:t>
      </w:r>
      <w:r>
        <w:rPr>
          <w:rFonts w:ascii="Times New Roman" w:hAnsi="Times New Roman" w:eastAsia="黑体" w:cs="Times New Roman"/>
          <w:b/>
          <w:bCs/>
          <w:color w:val="auto"/>
          <w:szCs w:val="21"/>
          <w:highlight w:val="none"/>
        </w:rPr>
        <w:t>.5</w:t>
      </w:r>
      <w:r>
        <w:rPr>
          <w:rFonts w:hint="eastAsia" w:ascii="黑体" w:hAnsi="黑体"/>
          <w:color w:val="000000" w:themeColor="text1"/>
          <w:highlight w:val="none"/>
          <w14:textFill>
            <w14:solidFill>
              <w14:schemeClr w14:val="tx1"/>
            </w14:solidFill>
          </w14:textFill>
        </w:rPr>
        <w:t xml:space="preserve"> </w:t>
      </w:r>
      <w:r>
        <w:rPr>
          <w:rFonts w:hint="default" w:ascii="Times New Roman" w:hAnsi="Times New Roman" w:eastAsia="宋体"/>
          <w:color w:val="auto"/>
          <w:kern w:val="2"/>
          <w:szCs w:val="24"/>
          <w:highlight w:val="none"/>
        </w:rPr>
        <w:t>表观气体渗透率计算</w:t>
      </w:r>
      <w:r>
        <w:rPr>
          <w:rFonts w:ascii="Times New Roman" w:hAnsi="Times New Roman" w:eastAsia="宋体" w:cs="Times New Roman"/>
          <w:color w:val="auto"/>
          <w:kern w:val="2"/>
          <w:szCs w:val="24"/>
          <w:highlight w:val="none"/>
        </w:rPr>
        <w:t>应符合下列规定：</w:t>
      </w:r>
    </w:p>
    <w:p w14:paraId="77086092">
      <w:pPr>
        <w:topLinePunct/>
        <w:adjustRightInd w:val="0"/>
        <w:snapToGrid w:val="0"/>
        <w:spacing w:before="156" w:beforeLines="50" w:line="360" w:lineRule="auto"/>
        <w:ind w:firstLine="210" w:firstLineChars="100"/>
        <w:rPr>
          <w:highlight w:val="none"/>
        </w:rPr>
      </w:pPr>
      <w:r>
        <w:rPr>
          <w:rFonts w:hint="eastAsia"/>
          <w:highlight w:val="none"/>
        </w:rPr>
        <w:t>混凝土</w:t>
      </w:r>
      <w:r>
        <w:rPr>
          <w:highlight w:val="none"/>
        </w:rPr>
        <w:t>试件在</w:t>
      </w:r>
      <w:r>
        <w:rPr>
          <w:rFonts w:hint="eastAsia"/>
          <w:highlight w:val="none"/>
        </w:rPr>
        <w:t>某个</w:t>
      </w:r>
      <w:r>
        <w:rPr>
          <w:highlight w:val="none"/>
        </w:rPr>
        <w:t>气路压力下的</w:t>
      </w:r>
      <w:r>
        <w:rPr>
          <w:rFonts w:hint="eastAsia"/>
          <w:highlight w:val="none"/>
        </w:rPr>
        <w:t>表观</w:t>
      </w:r>
      <w:r>
        <w:rPr>
          <w:highlight w:val="none"/>
        </w:rPr>
        <w:t>气体渗透率应按</w:t>
      </w:r>
      <w:r>
        <w:rPr>
          <w:rFonts w:hint="eastAsia"/>
          <w:highlight w:val="none"/>
        </w:rPr>
        <w:t>公式（1）</w:t>
      </w:r>
      <w:r>
        <w:rPr>
          <w:highlight w:val="none"/>
        </w:rPr>
        <w:t>进行计算：</w:t>
      </w:r>
    </w:p>
    <w:tbl>
      <w:tblPr>
        <w:tblStyle w:val="3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5"/>
        <w:gridCol w:w="3115"/>
        <w:gridCol w:w="3115"/>
      </w:tblGrid>
      <w:tr w14:paraId="59B3E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5" w:type="dxa"/>
          </w:tcPr>
          <w:p w14:paraId="2211E63D">
            <w:pPr>
              <w:keepNext w:val="0"/>
              <w:keepLines w:val="0"/>
              <w:suppressLineNumbers w:val="0"/>
              <w:topLinePunct/>
              <w:adjustRightInd w:val="0"/>
              <w:snapToGrid w:val="0"/>
              <w:spacing w:before="156" w:beforeLines="50" w:beforeAutospacing="0" w:after="0" w:afterAutospacing="0" w:line="360" w:lineRule="auto"/>
              <w:ind w:left="0" w:right="0"/>
              <w:rPr>
                <w:rFonts w:hint="default"/>
                <w:highlight w:val="none"/>
              </w:rPr>
            </w:pPr>
          </w:p>
        </w:tc>
        <w:tc>
          <w:tcPr>
            <w:tcW w:w="3115" w:type="dxa"/>
          </w:tcPr>
          <w:p w14:paraId="23BA84A9">
            <w:pPr>
              <w:keepNext w:val="0"/>
              <w:keepLines w:val="0"/>
              <w:suppressLineNumbers w:val="0"/>
              <w:topLinePunct/>
              <w:adjustRightInd w:val="0"/>
              <w:snapToGrid w:val="0"/>
              <w:spacing w:before="156" w:beforeLines="50" w:beforeAutospacing="0" w:after="0" w:afterAutospacing="0" w:line="360" w:lineRule="auto"/>
              <w:ind w:left="0" w:right="0"/>
              <w:rPr>
                <w:rFonts w:hint="default"/>
                <w:szCs w:val="21"/>
                <w:highlight w:val="none"/>
              </w:rPr>
            </w:pPr>
            <m:oMathPara>
              <m:oMath>
                <m:sSub>
                  <m:sSubPr>
                    <m:ctrlPr>
                      <w:rPr>
                        <w:rFonts w:hint="default" w:ascii="Cambria Math" w:hAnsi="Cambria Math"/>
                        <w:i/>
                        <w:szCs w:val="21"/>
                        <w:highlight w:val="none"/>
                      </w:rPr>
                    </m:ctrlPr>
                  </m:sSubPr>
                  <m:e>
                    <m:r>
                      <m:rPr/>
                      <w:rPr>
                        <w:rFonts w:hint="default" w:ascii="Cambria Math" w:hAnsi="Cambria Math"/>
                        <w:szCs w:val="21"/>
                        <w:highlight w:val="none"/>
                      </w:rPr>
                      <m:t>k</m:t>
                    </m:r>
                    <m:ctrlPr>
                      <w:rPr>
                        <w:rFonts w:hint="default" w:ascii="Cambria Math" w:hAnsi="Cambria Math"/>
                        <w:i/>
                        <w:szCs w:val="21"/>
                        <w:highlight w:val="none"/>
                      </w:rPr>
                    </m:ctrlPr>
                  </m:e>
                  <m:sub>
                    <m:r>
                      <m:rPr/>
                      <w:rPr>
                        <w:rFonts w:hint="default" w:ascii="Cambria Math" w:hAnsi="Cambria Math"/>
                        <w:szCs w:val="21"/>
                        <w:highlight w:val="none"/>
                      </w:rPr>
                      <m:t>p</m:t>
                    </m:r>
                    <m:ctrlPr>
                      <w:rPr>
                        <w:rFonts w:hint="default" w:ascii="Cambria Math" w:hAnsi="Cambria Math"/>
                        <w:i/>
                        <w:szCs w:val="21"/>
                        <w:highlight w:val="none"/>
                      </w:rPr>
                    </m:ctrlPr>
                  </m:sub>
                </m:sSub>
                <m:r>
                  <m:rPr/>
                  <w:rPr>
                    <w:rFonts w:hint="default" w:ascii="Cambria Math" w:hAnsi="Cambria Math"/>
                    <w:szCs w:val="21"/>
                    <w:highlight w:val="none"/>
                  </w:rPr>
                  <m:t>=</m:t>
                </m:r>
                <m:f>
                  <m:fPr>
                    <m:ctrlPr>
                      <w:rPr>
                        <w:rFonts w:hint="default" w:ascii="Cambria Math" w:hAnsi="Cambria Math"/>
                        <w:i/>
                        <w:szCs w:val="21"/>
                        <w:highlight w:val="none"/>
                      </w:rPr>
                    </m:ctrlPr>
                  </m:fPr>
                  <m:num>
                    <m:r>
                      <m:rPr/>
                      <w:rPr>
                        <w:rFonts w:hint="default" w:ascii="Cambria Math" w:hAnsi="Cambria Math"/>
                        <w:szCs w:val="21"/>
                        <w:highlight w:val="none"/>
                      </w:rPr>
                      <m:t>2μLQ</m:t>
                    </m:r>
                    <m:sSub>
                      <m:sSubPr>
                        <m:ctrlPr>
                          <w:rPr>
                            <w:rFonts w:hint="default" w:ascii="Cambria Math" w:hAnsi="Cambria Math"/>
                            <w:i/>
                            <w:szCs w:val="21"/>
                            <w:highlight w:val="none"/>
                          </w:rPr>
                        </m:ctrlPr>
                      </m:sSubPr>
                      <m:e>
                        <m:r>
                          <m:rPr/>
                          <w:rPr>
                            <w:rFonts w:hint="default" w:ascii="Cambria Math" w:hAnsi="Cambria Math"/>
                            <w:szCs w:val="21"/>
                            <w:highlight w:val="none"/>
                          </w:rPr>
                          <m:t>P</m:t>
                        </m:r>
                        <m:ctrlPr>
                          <w:rPr>
                            <w:rFonts w:hint="default" w:ascii="Cambria Math" w:hAnsi="Cambria Math"/>
                            <w:i/>
                            <w:szCs w:val="21"/>
                            <w:highlight w:val="none"/>
                          </w:rPr>
                        </m:ctrlPr>
                      </m:e>
                      <m:sub>
                        <m:r>
                          <m:rPr/>
                          <w:rPr>
                            <w:rFonts w:hint="default" w:ascii="Cambria Math" w:hAnsi="Cambria Math"/>
                            <w:szCs w:val="21"/>
                            <w:highlight w:val="none"/>
                          </w:rPr>
                          <m:t>atm</m:t>
                        </m:r>
                        <m:ctrlPr>
                          <w:rPr>
                            <w:rFonts w:hint="default" w:ascii="Cambria Math" w:hAnsi="Cambria Math"/>
                            <w:i/>
                            <w:szCs w:val="21"/>
                            <w:highlight w:val="none"/>
                          </w:rPr>
                        </m:ctrlPr>
                      </m:sub>
                    </m:sSub>
                    <m:ctrlPr>
                      <w:rPr>
                        <w:rFonts w:hint="default" w:ascii="Cambria Math" w:hAnsi="Cambria Math"/>
                        <w:i/>
                        <w:szCs w:val="21"/>
                        <w:highlight w:val="none"/>
                      </w:rPr>
                    </m:ctrlPr>
                  </m:num>
                  <m:den>
                    <m:r>
                      <m:rPr/>
                      <w:rPr>
                        <w:rFonts w:hint="default" w:ascii="Cambria Math" w:hAnsi="Cambria Math"/>
                        <w:szCs w:val="21"/>
                        <w:highlight w:val="none"/>
                      </w:rPr>
                      <m:t>A(</m:t>
                    </m:r>
                    <m:sSubSup>
                      <m:sSubSupPr>
                        <m:ctrlPr>
                          <w:rPr>
                            <w:rFonts w:hint="default" w:ascii="Cambria Math" w:hAnsi="Cambria Math"/>
                            <w:i/>
                            <w:szCs w:val="21"/>
                            <w:highlight w:val="none"/>
                          </w:rPr>
                        </m:ctrlPr>
                      </m:sSubSupPr>
                      <m:e>
                        <m:r>
                          <m:rPr/>
                          <w:rPr>
                            <w:rFonts w:hint="default" w:ascii="Cambria Math" w:hAnsi="Cambria Math"/>
                            <w:szCs w:val="21"/>
                            <w:highlight w:val="none"/>
                          </w:rPr>
                          <m:t>P</m:t>
                        </m:r>
                        <m:ctrlPr>
                          <w:rPr>
                            <w:rFonts w:hint="default" w:ascii="Cambria Math" w:hAnsi="Cambria Math"/>
                            <w:i/>
                            <w:szCs w:val="21"/>
                            <w:highlight w:val="none"/>
                          </w:rPr>
                        </m:ctrlPr>
                      </m:e>
                      <m:sub>
                        <m:r>
                          <m:rPr/>
                          <w:rPr>
                            <w:rFonts w:hint="default" w:ascii="Cambria Math" w:hAnsi="Cambria Math"/>
                            <w:szCs w:val="21"/>
                            <w:highlight w:val="none"/>
                          </w:rPr>
                          <m:t>s</m:t>
                        </m:r>
                        <m:ctrlPr>
                          <w:rPr>
                            <w:rFonts w:hint="default" w:ascii="Cambria Math" w:hAnsi="Cambria Math"/>
                            <w:i/>
                            <w:szCs w:val="21"/>
                            <w:highlight w:val="none"/>
                          </w:rPr>
                        </m:ctrlPr>
                      </m:sub>
                      <m:sup>
                        <m:r>
                          <m:rPr/>
                          <w:rPr>
                            <w:rFonts w:hint="default" w:ascii="Cambria Math" w:hAnsi="Cambria Math"/>
                            <w:szCs w:val="21"/>
                            <w:highlight w:val="none"/>
                          </w:rPr>
                          <m:t>2</m:t>
                        </m:r>
                        <m:ctrlPr>
                          <w:rPr>
                            <w:rFonts w:hint="default" w:ascii="Cambria Math" w:hAnsi="Cambria Math"/>
                            <w:i/>
                            <w:szCs w:val="21"/>
                            <w:highlight w:val="none"/>
                          </w:rPr>
                        </m:ctrlPr>
                      </m:sup>
                    </m:sSubSup>
                    <m:r>
                      <m:rPr/>
                      <w:rPr>
                        <w:rFonts w:hint="default" w:ascii="Cambria Math" w:hAnsi="Cambria Math"/>
                        <w:szCs w:val="21"/>
                        <w:highlight w:val="none"/>
                      </w:rPr>
                      <m:t>−</m:t>
                    </m:r>
                    <m:sSubSup>
                      <m:sSubSupPr>
                        <m:ctrlPr>
                          <w:rPr>
                            <w:rFonts w:hint="default" w:ascii="Cambria Math" w:hAnsi="Cambria Math"/>
                            <w:i/>
                            <w:szCs w:val="21"/>
                            <w:highlight w:val="none"/>
                          </w:rPr>
                        </m:ctrlPr>
                      </m:sSubSupPr>
                      <m:e>
                        <m:r>
                          <m:rPr/>
                          <w:rPr>
                            <w:rFonts w:hint="default" w:ascii="Cambria Math" w:hAnsi="Cambria Math"/>
                            <w:szCs w:val="21"/>
                            <w:highlight w:val="none"/>
                          </w:rPr>
                          <m:t>P</m:t>
                        </m:r>
                        <m:ctrlPr>
                          <w:rPr>
                            <w:rFonts w:hint="default" w:ascii="Cambria Math" w:hAnsi="Cambria Math"/>
                            <w:i/>
                            <w:szCs w:val="21"/>
                            <w:highlight w:val="none"/>
                          </w:rPr>
                        </m:ctrlPr>
                      </m:e>
                      <m:sub>
                        <m:r>
                          <m:rPr/>
                          <w:rPr>
                            <w:rFonts w:hint="default" w:ascii="Cambria Math" w:hAnsi="Cambria Math"/>
                            <w:szCs w:val="21"/>
                            <w:highlight w:val="none"/>
                          </w:rPr>
                          <m:t>atm</m:t>
                        </m:r>
                        <m:ctrlPr>
                          <w:rPr>
                            <w:rFonts w:hint="default" w:ascii="Cambria Math" w:hAnsi="Cambria Math"/>
                            <w:i/>
                            <w:szCs w:val="21"/>
                            <w:highlight w:val="none"/>
                          </w:rPr>
                        </m:ctrlPr>
                      </m:sub>
                      <m:sup>
                        <m:r>
                          <m:rPr/>
                          <w:rPr>
                            <w:rFonts w:hint="default" w:ascii="Cambria Math" w:hAnsi="Cambria Math"/>
                            <w:szCs w:val="21"/>
                            <w:highlight w:val="none"/>
                          </w:rPr>
                          <m:t>2</m:t>
                        </m:r>
                        <m:ctrlPr>
                          <w:rPr>
                            <w:rFonts w:hint="default" w:ascii="Cambria Math" w:hAnsi="Cambria Math"/>
                            <w:i/>
                            <w:szCs w:val="21"/>
                            <w:highlight w:val="none"/>
                          </w:rPr>
                        </m:ctrlPr>
                      </m:sup>
                    </m:sSubSup>
                    <m:r>
                      <m:rPr/>
                      <w:rPr>
                        <w:rFonts w:hint="default" w:ascii="Cambria Math" w:hAnsi="Cambria Math"/>
                        <w:szCs w:val="21"/>
                        <w:highlight w:val="none"/>
                      </w:rPr>
                      <m:t>)</m:t>
                    </m:r>
                    <m:ctrlPr>
                      <w:rPr>
                        <w:rFonts w:hint="default" w:ascii="Cambria Math" w:hAnsi="Cambria Math"/>
                        <w:i/>
                        <w:szCs w:val="21"/>
                        <w:highlight w:val="none"/>
                      </w:rPr>
                    </m:ctrlPr>
                  </m:den>
                </m:f>
              </m:oMath>
            </m:oMathPara>
          </w:p>
        </w:tc>
        <w:tc>
          <w:tcPr>
            <w:tcW w:w="3115" w:type="dxa"/>
            <w:vAlign w:val="center"/>
          </w:tcPr>
          <w:p w14:paraId="457FFA59">
            <w:pPr>
              <w:keepNext w:val="0"/>
              <w:keepLines w:val="0"/>
              <w:suppressLineNumbers w:val="0"/>
              <w:topLinePunct/>
              <w:adjustRightInd w:val="0"/>
              <w:snapToGrid w:val="0"/>
              <w:spacing w:before="156" w:beforeLines="50" w:beforeAutospacing="0" w:after="0" w:afterAutospacing="0" w:line="360" w:lineRule="auto"/>
              <w:ind w:left="0" w:right="0"/>
              <w:jc w:val="right"/>
              <w:rPr>
                <w:rFonts w:hint="default"/>
                <w:highlight w:val="none"/>
              </w:rPr>
            </w:pPr>
            <w:r>
              <w:rPr>
                <w:rFonts w:hint="default"/>
                <w:highlight w:val="none"/>
              </w:rPr>
              <w:t>（</w:t>
            </w:r>
            <w:r>
              <w:rPr>
                <w:rFonts w:hint="default" w:ascii="Times New Roman" w:hAnsi="Times New Roman" w:cs="Times New Roman"/>
                <w:color w:val="auto"/>
                <w:highlight w:val="none"/>
                <w:lang w:eastAsia="zh-CN"/>
              </w:rPr>
              <w:t>7.</w:t>
            </w:r>
            <w:r>
              <w:rPr>
                <w:rFonts w:hint="eastAsia" w:cs="Times New Roman"/>
                <w:color w:val="auto"/>
                <w:highlight w:val="none"/>
                <w:lang w:val="en-US" w:eastAsia="zh-CN"/>
              </w:rPr>
              <w:t>6</w:t>
            </w:r>
            <w:r>
              <w:rPr>
                <w:rFonts w:hint="default" w:ascii="Times New Roman" w:hAnsi="Times New Roman" w:cs="Times New Roman"/>
                <w:color w:val="auto"/>
                <w:highlight w:val="none"/>
              </w:rPr>
              <w:t>.5</w:t>
            </w:r>
            <w:r>
              <w:rPr>
                <w:rFonts w:hint="default"/>
                <w:highlight w:val="none"/>
              </w:rPr>
              <w:t>）</w:t>
            </w:r>
          </w:p>
        </w:tc>
      </w:tr>
    </w:tbl>
    <w:p w14:paraId="0B939BDC">
      <w:pPr>
        <w:topLinePunct/>
        <w:adjustRightInd w:val="0"/>
        <w:snapToGrid w:val="0"/>
        <w:spacing w:before="156" w:beforeLines="50" w:line="360" w:lineRule="auto"/>
        <w:ind w:firstLine="315" w:firstLineChars="150"/>
        <w:rPr>
          <w:highlight w:val="none"/>
        </w:rPr>
      </w:pPr>
      <w:r>
        <w:rPr>
          <w:color w:val="000000" w:themeColor="text1"/>
          <w:highlight w:val="none"/>
          <w14:textFill>
            <w14:solidFill>
              <w14:schemeClr w14:val="tx1"/>
            </w14:solidFill>
          </w14:textFill>
        </w:rPr>
        <w:t>式中：</w:t>
      </w:r>
    </w:p>
    <w:p w14:paraId="0FFBC4E5">
      <w:pPr>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i/>
          <w:iCs/>
          <w:color w:val="000000" w:themeColor="text1"/>
          <w:highlight w:val="none"/>
          <w14:textFill>
            <w14:solidFill>
              <w14:schemeClr w14:val="tx1"/>
            </w14:solidFill>
          </w14:textFill>
        </w:rPr>
        <w:t>k</w:t>
      </w:r>
      <w:r>
        <w:rPr>
          <w:rFonts w:hint="eastAsia"/>
          <w:color w:val="000000" w:themeColor="text1"/>
          <w:highlight w:val="none"/>
          <w:vertAlign w:val="subscript"/>
          <w14:textFill>
            <w14:solidFill>
              <w14:schemeClr w14:val="tx1"/>
            </w14:solidFill>
          </w14:textFill>
        </w:rPr>
        <w:t>p</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混凝土</w:t>
      </w:r>
      <w:r>
        <w:rPr>
          <w:color w:val="000000" w:themeColor="text1"/>
          <w:highlight w:val="none"/>
          <w14:textFill>
            <w14:solidFill>
              <w14:schemeClr w14:val="tx1"/>
            </w14:solidFill>
          </w14:textFill>
        </w:rPr>
        <w:t>表观气体渗透率</w:t>
      </w:r>
      <w:r>
        <w:rPr>
          <w:rFonts w:hint="eastAsia"/>
          <w:color w:val="000000" w:themeColor="text1"/>
          <w:highlight w:val="none"/>
          <w14:textFill>
            <w14:solidFill>
              <w14:schemeClr w14:val="tx1"/>
            </w14:solidFill>
          </w14:textFill>
        </w:rPr>
        <w:t>，单位为平方米</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bookmarkStart w:id="185" w:name="_Hlk129276894"/>
      <w:r>
        <w:rPr>
          <w:rFonts w:hint="eastAsia"/>
          <w:color w:val="000000" w:themeColor="text1"/>
          <w:highlight w:val="none"/>
          <w14:textFill>
            <w14:solidFill>
              <w14:schemeClr w14:val="tx1"/>
            </w14:solidFill>
          </w14:textFill>
        </w:rPr>
        <w:t>结果采用科学计数法表示，保留三位有效数字，精确到小数点后两位</w:t>
      </w:r>
      <w:bookmarkEnd w:id="185"/>
      <w:r>
        <w:rPr>
          <w:rFonts w:hint="eastAsia"/>
          <w:color w:val="000000" w:themeColor="text1"/>
          <w:highlight w:val="none"/>
          <w14:textFill>
            <w14:solidFill>
              <w14:schemeClr w14:val="tx1"/>
            </w14:solidFill>
          </w14:textFill>
        </w:rPr>
        <w:t>；</w:t>
      </w:r>
    </w:p>
    <w:p w14:paraId="002E88C1">
      <w:pPr>
        <w:ind w:firstLine="630" w:firstLineChars="300"/>
        <w:rPr>
          <w:color w:val="000000" w:themeColor="text1"/>
          <w:highlight w:val="none"/>
          <w14:textFill>
            <w14:solidFill>
              <w14:schemeClr w14:val="tx1"/>
            </w14:solidFill>
          </w14:textFill>
        </w:rPr>
      </w:pPr>
      <w:r>
        <w:rPr>
          <w:i/>
          <w:iCs/>
          <w:color w:val="000000" w:themeColor="text1"/>
          <w:highlight w:val="none"/>
          <w14:textFill>
            <w14:solidFill>
              <w14:schemeClr w14:val="tx1"/>
            </w14:solidFill>
          </w14:textFill>
        </w:rPr>
        <w:t>Q</w:t>
      </w:r>
      <w:r>
        <w:rPr>
          <w:color w:val="000000" w:themeColor="text1"/>
          <w:highlight w:val="none"/>
          <w14:textFill>
            <w14:solidFill>
              <w14:schemeClr w14:val="tx1"/>
            </w14:solidFill>
          </w14:textFill>
        </w:rPr>
        <w:t>——</w:t>
      </w:r>
      <w:r>
        <w:rPr>
          <w:highlight w:val="none"/>
        </w:rPr>
        <w:t>在</w:t>
      </w:r>
      <w:r>
        <w:rPr>
          <w:rFonts w:hint="eastAsia"/>
          <w:highlight w:val="none"/>
        </w:rPr>
        <w:t>某个</w:t>
      </w:r>
      <w:r>
        <w:rPr>
          <w:highlight w:val="none"/>
        </w:rPr>
        <w:t>气路压力下</w:t>
      </w:r>
      <w:r>
        <w:rPr>
          <w:rFonts w:hint="eastAsia"/>
          <w:highlight w:val="none"/>
        </w:rPr>
        <w:t>渗透单元</w:t>
      </w:r>
      <w:r>
        <w:rPr>
          <w:color w:val="000000" w:themeColor="text1"/>
          <w:highlight w:val="none"/>
          <w14:textFill>
            <w14:solidFill>
              <w14:schemeClr w14:val="tx1"/>
            </w14:solidFill>
          </w14:textFill>
        </w:rPr>
        <w:t>出气嘴的稳定气体流量</w:t>
      </w:r>
      <w:r>
        <w:rPr>
          <w:rFonts w:hint="eastAsia"/>
          <w:color w:val="000000" w:themeColor="text1"/>
          <w:highlight w:val="none"/>
          <w14:textFill>
            <w14:solidFill>
              <w14:schemeClr w14:val="tx1"/>
            </w14:solidFill>
          </w14:textFill>
        </w:rPr>
        <w:t>，单位立方米每秒</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 xml:space="preserve">/s）； </w:t>
      </w:r>
    </w:p>
    <w:p w14:paraId="48BD4C73">
      <w:pPr>
        <w:ind w:firstLine="567" w:firstLineChars="270"/>
        <w:rPr>
          <w:color w:val="000000" w:themeColor="text1"/>
          <w:highlight w:val="none"/>
          <w14:textFill>
            <w14:solidFill>
              <w14:schemeClr w14:val="tx1"/>
            </w14:solidFill>
          </w14:textFill>
        </w:rPr>
      </w:pPr>
      <w:r>
        <w:rPr>
          <w:i/>
          <w:iCs/>
          <w:color w:val="000000" w:themeColor="text1"/>
          <w:highlight w:val="none"/>
          <w14:textFill>
            <w14:solidFill>
              <w14:schemeClr w14:val="tx1"/>
            </w14:solidFill>
          </w14:textFill>
        </w:rPr>
        <w:t>P</w:t>
      </w:r>
      <w:r>
        <w:rPr>
          <w:color w:val="000000" w:themeColor="text1"/>
          <w:highlight w:val="none"/>
          <w:vertAlign w:val="subscript"/>
          <w14:textFill>
            <w14:solidFill>
              <w14:schemeClr w14:val="tx1"/>
            </w14:solidFill>
          </w14:textFill>
        </w:rPr>
        <w:t>atm</w:t>
      </w:r>
      <w:r>
        <w:rPr>
          <w:color w:val="000000" w:themeColor="text1"/>
          <w:highlight w:val="none"/>
          <w14:textFill>
            <w14:solidFill>
              <w14:schemeClr w14:val="tx1"/>
            </w14:solidFill>
          </w14:textFill>
        </w:rPr>
        <w:t>——渗透单元</w:t>
      </w:r>
      <w:r>
        <w:rPr>
          <w:rFonts w:hint="eastAsia"/>
          <w:color w:val="000000" w:themeColor="text1"/>
          <w:highlight w:val="none"/>
          <w14:textFill>
            <w14:solidFill>
              <w14:schemeClr w14:val="tx1"/>
            </w14:solidFill>
          </w14:textFill>
        </w:rPr>
        <w:t>出</w:t>
      </w:r>
      <w:r>
        <w:rPr>
          <w:color w:val="000000" w:themeColor="text1"/>
          <w:highlight w:val="none"/>
          <w14:textFill>
            <w14:solidFill>
              <w14:schemeClr w14:val="tx1"/>
            </w14:solidFill>
          </w14:textFill>
        </w:rPr>
        <w:t>气嘴的绝对压力</w:t>
      </w:r>
      <w:r>
        <w:rPr>
          <w:rFonts w:hint="eastAsia"/>
          <w:color w:val="000000" w:themeColor="text1"/>
          <w:highlight w:val="none"/>
          <w14:textFill>
            <w14:solidFill>
              <w14:schemeClr w14:val="tx1"/>
            </w14:solidFill>
          </w14:textFill>
        </w:rPr>
        <w:t>，即</w:t>
      </w:r>
      <w:r>
        <w:rPr>
          <w:color w:val="000000" w:themeColor="text1"/>
          <w:highlight w:val="none"/>
          <w14:textFill>
            <w14:solidFill>
              <w14:schemeClr w14:val="tx1"/>
            </w14:solidFill>
          </w14:textFill>
        </w:rPr>
        <w:t>测试条件下的大气压力</w:t>
      </w:r>
      <w:r>
        <w:rPr>
          <w:rFonts w:hint="eastAsia"/>
          <w:color w:val="000000" w:themeColor="text1"/>
          <w:highlight w:val="none"/>
          <w14:textFill>
            <w14:solidFill>
              <w14:schemeClr w14:val="tx1"/>
            </w14:solidFill>
          </w14:textFill>
        </w:rPr>
        <w:t>，单位为帕</w:t>
      </w:r>
      <w:r>
        <w:rPr>
          <w:color w:val="000000" w:themeColor="text1"/>
          <w:highlight w:val="none"/>
          <w14:textFill>
            <w14:solidFill>
              <w14:schemeClr w14:val="tx1"/>
            </w14:solidFill>
          </w14:textFill>
        </w:rPr>
        <w:t xml:space="preserve">（Pa）； </w:t>
      </w:r>
    </w:p>
    <w:p w14:paraId="212AA7A7">
      <w:pPr>
        <w:ind w:firstLine="630" w:firstLineChars="300"/>
        <w:rPr>
          <w:color w:val="000000" w:themeColor="text1"/>
          <w:highlight w:val="none"/>
          <w14:textFill>
            <w14:solidFill>
              <w14:schemeClr w14:val="tx1"/>
            </w14:solidFill>
          </w14:textFill>
        </w:rPr>
      </w:pPr>
      <w:r>
        <w:rPr>
          <w:i/>
          <w:iCs/>
          <w:color w:val="000000" w:themeColor="text1"/>
          <w:highlight w:val="none"/>
          <w14:textFill>
            <w14:solidFill>
              <w14:schemeClr w14:val="tx1"/>
            </w14:solidFill>
          </w14:textFill>
        </w:rPr>
        <w:t>P</w:t>
      </w:r>
      <w:r>
        <w:rPr>
          <w:i/>
          <w:iCs/>
          <w:color w:val="000000" w:themeColor="text1"/>
          <w:highlight w:val="none"/>
          <w:vertAlign w:val="subscript"/>
          <w14:textFill>
            <w14:solidFill>
              <w14:schemeClr w14:val="tx1"/>
            </w14:solidFill>
          </w14:textFill>
        </w:rPr>
        <w:t>s</w:t>
      </w:r>
      <w:r>
        <w:rPr>
          <w:color w:val="000000" w:themeColor="text1"/>
          <w:highlight w:val="none"/>
          <w14:textFill>
            <w14:solidFill>
              <w14:schemeClr w14:val="tx1"/>
            </w14:solidFill>
          </w14:textFill>
        </w:rPr>
        <w:t>——渗透单元进气嘴的绝对压力</w:t>
      </w:r>
      <w:r>
        <w:rPr>
          <w:rFonts w:hint="eastAsia"/>
          <w:color w:val="000000" w:themeColor="text1"/>
          <w:highlight w:val="none"/>
          <w14:textFill>
            <w14:solidFill>
              <w14:schemeClr w14:val="tx1"/>
            </w14:solidFill>
          </w14:textFill>
        </w:rPr>
        <w:t>，即进气气路压力，单位为帕</w:t>
      </w:r>
      <w:r>
        <w:rPr>
          <w:color w:val="000000" w:themeColor="text1"/>
          <w:highlight w:val="none"/>
          <w14:textFill>
            <w14:solidFill>
              <w14:schemeClr w14:val="tx1"/>
            </w14:solidFill>
          </w14:textFill>
        </w:rPr>
        <w:t xml:space="preserve">（Pa）； </w:t>
      </w:r>
    </w:p>
    <w:p w14:paraId="6D5A78B7">
      <w:pPr>
        <w:ind w:firstLine="726" w:firstLineChars="346"/>
        <w:rPr>
          <w:color w:val="000000" w:themeColor="text1"/>
          <w:highlight w:val="none"/>
          <w14:textFill>
            <w14:solidFill>
              <w14:schemeClr w14:val="tx1"/>
            </w14:solidFill>
          </w14:textFill>
        </w:rPr>
      </w:pPr>
      <w:r>
        <w:rPr>
          <w:i/>
          <w:iCs/>
          <w:color w:val="000000" w:themeColor="text1"/>
          <w:highlight w:val="none"/>
          <w14:textFill>
            <w14:solidFill>
              <w14:schemeClr w14:val="tx1"/>
            </w14:solidFill>
          </w14:textFill>
        </w:rPr>
        <w:t>L</w:t>
      </w:r>
      <w:r>
        <w:rPr>
          <w:color w:val="000000" w:themeColor="text1"/>
          <w:highlight w:val="none"/>
          <w14:textFill>
            <w14:solidFill>
              <w14:schemeClr w14:val="tx1"/>
            </w14:solidFill>
          </w14:textFill>
        </w:rPr>
        <w:t>——试件厚度</w:t>
      </w:r>
      <w:r>
        <w:rPr>
          <w:rFonts w:hint="eastAsia"/>
          <w:color w:val="000000" w:themeColor="text1"/>
          <w:highlight w:val="none"/>
          <w14:textFill>
            <w14:solidFill>
              <w14:schemeClr w14:val="tx1"/>
            </w14:solidFill>
          </w14:textFill>
        </w:rPr>
        <w:t>，单位为米</w:t>
      </w:r>
      <w:r>
        <w:rPr>
          <w:color w:val="000000" w:themeColor="text1"/>
          <w:highlight w:val="none"/>
          <w14:textFill>
            <w14:solidFill>
              <w14:schemeClr w14:val="tx1"/>
            </w14:solidFill>
          </w14:textFill>
        </w:rPr>
        <w:t xml:space="preserve">（m）； </w:t>
      </w:r>
    </w:p>
    <w:p w14:paraId="42D5FE9D">
      <w:pPr>
        <w:ind w:firstLine="741" w:firstLineChars="353"/>
        <w:rPr>
          <w:color w:val="000000" w:themeColor="text1"/>
          <w:highlight w:val="none"/>
          <w14:textFill>
            <w14:solidFill>
              <w14:schemeClr w14:val="tx1"/>
            </w14:solidFill>
          </w14:textFill>
        </w:rPr>
      </w:pPr>
      <w:r>
        <w:rPr>
          <w:i/>
          <w:iCs/>
          <w:color w:val="000000" w:themeColor="text1"/>
          <w:highlight w:val="none"/>
          <w14:textFill>
            <w14:solidFill>
              <w14:schemeClr w14:val="tx1"/>
            </w14:solidFill>
          </w14:textFill>
        </w:rPr>
        <w:t>μ</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气体</w:t>
      </w:r>
      <w:r>
        <w:rPr>
          <w:color w:val="000000" w:themeColor="text1"/>
          <w:highlight w:val="none"/>
          <w14:textFill>
            <w14:solidFill>
              <w14:schemeClr w14:val="tx1"/>
            </w14:solidFill>
          </w14:textFill>
        </w:rPr>
        <w:t>动</w:t>
      </w:r>
      <w:r>
        <w:rPr>
          <w:rFonts w:hint="eastAsia"/>
          <w:color w:val="000000" w:themeColor="text1"/>
          <w:highlight w:val="none"/>
          <w14:textFill>
            <w14:solidFill>
              <w14:schemeClr w14:val="tx1"/>
            </w14:solidFill>
          </w14:textFill>
        </w:rPr>
        <w:t>力</w:t>
      </w:r>
      <w:r>
        <w:rPr>
          <w:color w:val="000000" w:themeColor="text1"/>
          <w:highlight w:val="none"/>
          <w14:textFill>
            <w14:solidFill>
              <w14:schemeClr w14:val="tx1"/>
            </w14:solidFill>
          </w14:textFill>
        </w:rPr>
        <w:t>粘度系数</w:t>
      </w:r>
      <w:r>
        <w:rPr>
          <w:rFonts w:hint="eastAsia"/>
          <w:color w:val="000000" w:themeColor="text1"/>
          <w:highlight w:val="none"/>
          <w14:textFill>
            <w14:solidFill>
              <w14:schemeClr w14:val="tx1"/>
            </w14:solidFill>
          </w14:textFill>
        </w:rPr>
        <w:t>，单位为帕秒</w:t>
      </w:r>
      <w:r>
        <w:rPr>
          <w:color w:val="000000" w:themeColor="text1"/>
          <w:highlight w:val="none"/>
          <w14:textFill>
            <w14:solidFill>
              <w14:schemeClr w14:val="tx1"/>
            </w14:solidFill>
          </w14:textFill>
        </w:rPr>
        <w:t>（Pa·s）</w:t>
      </w:r>
      <w:r>
        <w:rPr>
          <w:rFonts w:hint="eastAsia"/>
          <w:color w:val="000000" w:themeColor="text1"/>
          <w:highlight w:val="none"/>
          <w14:textFill>
            <w14:solidFill>
              <w14:schemeClr w14:val="tx1"/>
            </w14:solidFill>
          </w14:textFill>
        </w:rPr>
        <w:t>，按表1取值；</w:t>
      </w:r>
    </w:p>
    <w:p w14:paraId="2695A9E0">
      <w:pPr>
        <w:ind w:firstLine="699" w:firstLineChars="333"/>
        <w:rPr>
          <w:color w:val="000000" w:themeColor="text1"/>
          <w:highlight w:val="none"/>
          <w14:textFill>
            <w14:solidFill>
              <w14:schemeClr w14:val="tx1"/>
            </w14:solidFill>
          </w14:textFill>
        </w:rPr>
      </w:pPr>
      <w:r>
        <w:rPr>
          <w:i/>
          <w:iCs/>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——试件横截面积</w:t>
      </w:r>
      <w:r>
        <w:rPr>
          <w:rFonts w:hint="eastAsia"/>
          <w:color w:val="000000" w:themeColor="text1"/>
          <w:highlight w:val="none"/>
          <w14:textFill>
            <w14:solidFill>
              <w14:schemeClr w14:val="tx1"/>
            </w14:solidFill>
          </w14:textFill>
        </w:rPr>
        <w:t>，单位为平方米</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p>
    <w:p w14:paraId="567C46D5">
      <w:pPr>
        <w:widowControl w:val="0"/>
        <w:spacing w:line="360" w:lineRule="auto"/>
        <w:ind w:left="420" w:hangingChars="200"/>
        <w:outlineLvl w:val="9"/>
        <w:rPr>
          <w:rFonts w:ascii="黑体" w:hAnsi="黑体"/>
          <w:color w:val="000000" w:themeColor="text1"/>
          <w:highlight w:val="none"/>
          <w14:textFill>
            <w14:solidFill>
              <w14:schemeClr w14:val="tx1"/>
            </w14:solidFill>
          </w14:textFill>
        </w:rPr>
      </w:pPr>
      <w:r>
        <w:rPr>
          <w:rFonts w:hint="default" w:ascii="Times New Roman" w:hAnsi="Times New Roman" w:eastAsia="黑体" w:cs="Times New Roman"/>
          <w:b/>
          <w:bCs/>
          <w:color w:val="auto"/>
          <w:szCs w:val="21"/>
          <w:highlight w:val="none"/>
          <w:lang w:eastAsia="zh-CN"/>
        </w:rPr>
        <w:t>7.</w:t>
      </w:r>
      <w:r>
        <w:rPr>
          <w:rFonts w:hint="eastAsia" w:eastAsia="黑体" w:cs="Times New Roman"/>
          <w:b/>
          <w:bCs/>
          <w:color w:val="auto"/>
          <w:szCs w:val="21"/>
          <w:highlight w:val="none"/>
          <w:lang w:val="en-US" w:eastAsia="zh-CN"/>
        </w:rPr>
        <w:t>6</w:t>
      </w:r>
      <w:r>
        <w:rPr>
          <w:rFonts w:ascii="Times New Roman" w:hAnsi="Times New Roman" w:eastAsia="黑体" w:cs="Times New Roman"/>
          <w:b/>
          <w:bCs/>
          <w:color w:val="auto"/>
          <w:szCs w:val="21"/>
          <w:highlight w:val="none"/>
        </w:rPr>
        <w:t>.</w:t>
      </w:r>
      <w:r>
        <w:rPr>
          <w:rFonts w:hint="eastAsia" w:cs="Times New Roman"/>
          <w:b/>
          <w:bCs/>
          <w:color w:val="auto"/>
          <w:szCs w:val="21"/>
          <w:highlight w:val="none"/>
          <w:lang w:val="en-US" w:eastAsia="zh-CN"/>
        </w:rPr>
        <w:t>6</w:t>
      </w:r>
      <w:r>
        <w:rPr>
          <w:rFonts w:hint="eastAsia" w:ascii="黑体" w:hAnsi="黑体"/>
          <w:color w:val="000000" w:themeColor="text1"/>
          <w:highlight w:val="none"/>
          <w14:textFill>
            <w14:solidFill>
              <w14:schemeClr w14:val="tx1"/>
            </w14:solidFill>
          </w14:textFill>
        </w:rPr>
        <w:t xml:space="preserve"> </w:t>
      </w:r>
      <w:r>
        <w:rPr>
          <w:rFonts w:hint="default" w:ascii="Times New Roman" w:hAnsi="Times New Roman"/>
          <w:color w:val="auto"/>
          <w:highlight w:val="none"/>
        </w:rPr>
        <w:t>固有气体渗透率回归</w:t>
      </w:r>
      <w:r>
        <w:rPr>
          <w:rFonts w:ascii="Times New Roman" w:hAnsi="Times New Roman" w:cs="Times New Roman"/>
          <w:color w:val="auto"/>
          <w:highlight w:val="none"/>
        </w:rPr>
        <w:t>应符合下列规定：</w:t>
      </w:r>
    </w:p>
    <w:p w14:paraId="39A87E60">
      <w:pPr>
        <w:ind w:firstLine="420" w:firstLineChars="200"/>
        <w:rPr>
          <w:rFonts w:ascii="宋体"/>
          <w:color w:val="000000" w:themeColor="text1"/>
          <w:kern w:val="0"/>
          <w:szCs w:val="20"/>
          <w:highlight w:val="none"/>
          <w14:textFill>
            <w14:solidFill>
              <w14:schemeClr w14:val="tx1"/>
            </w14:solidFill>
          </w14:textFill>
        </w:rPr>
      </w:pPr>
      <w:r>
        <w:rPr>
          <w:rFonts w:hint="eastAsia" w:ascii="宋体"/>
          <w:color w:val="000000" w:themeColor="text1"/>
          <w:kern w:val="0"/>
          <w:szCs w:val="20"/>
          <w:highlight w:val="none"/>
          <w14:textFill>
            <w14:solidFill>
              <w14:schemeClr w14:val="tx1"/>
            </w14:solidFill>
          </w14:textFill>
        </w:rPr>
        <w:t>分别将四个气路</w:t>
      </w:r>
      <w:r>
        <w:rPr>
          <w:rFonts w:ascii="宋体"/>
          <w:color w:val="000000" w:themeColor="text1"/>
          <w:kern w:val="0"/>
          <w:szCs w:val="20"/>
          <w:highlight w:val="none"/>
          <w14:textFill>
            <w14:solidFill>
              <w14:schemeClr w14:val="tx1"/>
            </w14:solidFill>
          </w14:textFill>
        </w:rPr>
        <w:t>压力</w:t>
      </w:r>
      <w:r>
        <w:rPr>
          <w:rFonts w:hint="eastAsia" w:ascii="宋体"/>
          <w:color w:val="000000" w:themeColor="text1"/>
          <w:kern w:val="0"/>
          <w:szCs w:val="20"/>
          <w:highlight w:val="none"/>
          <w14:textFill>
            <w14:solidFill>
              <w14:schemeClr w14:val="tx1"/>
            </w14:solidFill>
          </w14:textFill>
        </w:rPr>
        <w:t>下</w:t>
      </w:r>
      <w:r>
        <w:rPr>
          <w:rFonts w:ascii="宋体"/>
          <w:color w:val="000000" w:themeColor="text1"/>
          <w:kern w:val="0"/>
          <w:szCs w:val="20"/>
          <w:highlight w:val="none"/>
          <w14:textFill>
            <w14:solidFill>
              <w14:schemeClr w14:val="tx1"/>
            </w14:solidFill>
          </w14:textFill>
        </w:rPr>
        <w:t>的</w:t>
      </w:r>
      <w:r>
        <w:rPr>
          <w:color w:val="000000" w:themeColor="text1"/>
          <w:kern w:val="0"/>
          <w:szCs w:val="20"/>
          <w:highlight w:val="none"/>
          <w14:textFill>
            <w14:solidFill>
              <w14:schemeClr w14:val="tx1"/>
            </w14:solidFill>
          </w14:textFill>
        </w:rPr>
        <w:t>1/</w:t>
      </w:r>
      <w:r>
        <w:rPr>
          <w:i/>
          <w:iCs/>
          <w:color w:val="000000" w:themeColor="text1"/>
          <w:highlight w:val="none"/>
          <w14:textFill>
            <w14:solidFill>
              <w14:schemeClr w14:val="tx1"/>
            </w14:solidFill>
          </w14:textFill>
        </w:rPr>
        <w:t xml:space="preserve"> P</w:t>
      </w:r>
      <w:r>
        <w:rPr>
          <w:color w:val="000000" w:themeColor="text1"/>
          <w:highlight w:val="none"/>
          <w:vertAlign w:val="subscript"/>
          <w14:textFill>
            <w14:solidFill>
              <w14:schemeClr w14:val="tx1"/>
            </w14:solidFill>
          </w14:textFill>
        </w:rPr>
        <w:t>m</w:t>
      </w:r>
      <w:r>
        <w:rPr>
          <w:rFonts w:ascii="宋体"/>
          <w:color w:val="000000" w:themeColor="text1"/>
          <w:kern w:val="0"/>
          <w:szCs w:val="20"/>
          <w:highlight w:val="none"/>
          <w14:textFill>
            <w14:solidFill>
              <w14:schemeClr w14:val="tx1"/>
            </w14:solidFill>
          </w14:textFill>
        </w:rPr>
        <w:t>与对应的</w:t>
      </w:r>
      <w:r>
        <w:rPr>
          <w:rFonts w:hint="eastAsia" w:ascii="宋体"/>
          <w:color w:val="000000" w:themeColor="text1"/>
          <w:kern w:val="0"/>
          <w:szCs w:val="20"/>
          <w:highlight w:val="none"/>
          <w14:textFill>
            <w14:solidFill>
              <w14:schemeClr w14:val="tx1"/>
            </w14:solidFill>
          </w14:textFill>
        </w:rPr>
        <w:t>表观气体</w:t>
      </w:r>
      <w:r>
        <w:rPr>
          <w:rFonts w:ascii="宋体"/>
          <w:color w:val="000000" w:themeColor="text1"/>
          <w:kern w:val="0"/>
          <w:szCs w:val="20"/>
          <w:highlight w:val="none"/>
          <w14:textFill>
            <w14:solidFill>
              <w14:schemeClr w14:val="tx1"/>
            </w14:solidFill>
          </w14:textFill>
        </w:rPr>
        <w:t>渗透率</w:t>
      </w:r>
      <w:r>
        <w:rPr>
          <w:i/>
          <w:iCs/>
          <w:color w:val="000000" w:themeColor="text1"/>
          <w:highlight w:val="none"/>
          <w14:textFill>
            <w14:solidFill>
              <w14:schemeClr w14:val="tx1"/>
            </w14:solidFill>
          </w14:textFill>
        </w:rPr>
        <w:t>k</w:t>
      </w:r>
      <w:r>
        <w:rPr>
          <w:color w:val="000000" w:themeColor="text1"/>
          <w:highlight w:val="none"/>
          <w:vertAlign w:val="subscript"/>
          <w14:textFill>
            <w14:solidFill>
              <w14:schemeClr w14:val="tx1"/>
            </w14:solidFill>
          </w14:textFill>
        </w:rPr>
        <w:t>p</w:t>
      </w:r>
      <w:r>
        <w:rPr>
          <w:rFonts w:hint="eastAsia" w:ascii="宋体"/>
          <w:color w:val="000000" w:themeColor="text1"/>
          <w:kern w:val="0"/>
          <w:szCs w:val="20"/>
          <w:highlight w:val="none"/>
          <w14:textFill>
            <w14:solidFill>
              <w14:schemeClr w14:val="tx1"/>
            </w14:solidFill>
          </w14:textFill>
        </w:rPr>
        <w:t>按公式（2）进行线性回归，得到混凝土的固有气体渗透率</w:t>
      </w:r>
      <w:r>
        <w:rPr>
          <w:i/>
          <w:iCs/>
          <w:color w:val="000000" w:themeColor="text1"/>
          <w:highlight w:val="none"/>
          <w14:textFill>
            <w14:solidFill>
              <w14:schemeClr w14:val="tx1"/>
            </w14:solidFill>
          </w14:textFill>
        </w:rPr>
        <w:t>k</w:t>
      </w:r>
      <w:r>
        <w:rPr>
          <w:rFonts w:hint="eastAsia"/>
          <w:color w:val="000000" w:themeColor="text1"/>
          <w:highlight w:val="none"/>
          <w:vertAlign w:val="subscript"/>
          <w14:textFill>
            <w14:solidFill>
              <w14:schemeClr w14:val="tx1"/>
            </w14:solidFill>
          </w14:textFill>
        </w:rPr>
        <w:t>v</w:t>
      </w:r>
      <w:r>
        <w:rPr>
          <w:rFonts w:ascii="宋体"/>
          <w:color w:val="000000" w:themeColor="text1"/>
          <w:kern w:val="0"/>
          <w:szCs w:val="20"/>
          <w:highlight w:val="none"/>
          <w14:textFill>
            <w14:solidFill>
              <w14:schemeClr w14:val="tx1"/>
            </w14:solidFill>
          </w14:textFill>
        </w:rPr>
        <w:t>：</w:t>
      </w:r>
    </w:p>
    <w:tbl>
      <w:tblPr>
        <w:tblStyle w:val="3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5"/>
        <w:gridCol w:w="3115"/>
        <w:gridCol w:w="3115"/>
      </w:tblGrid>
      <w:tr w14:paraId="4D759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5" w:type="dxa"/>
          </w:tcPr>
          <w:p w14:paraId="4C45F871">
            <w:pPr>
              <w:keepNext w:val="0"/>
              <w:keepLines w:val="0"/>
              <w:suppressLineNumbers w:val="0"/>
              <w:topLinePunct/>
              <w:adjustRightInd w:val="0"/>
              <w:snapToGrid w:val="0"/>
              <w:spacing w:before="156" w:beforeLines="50" w:beforeAutospacing="0" w:after="0" w:afterAutospacing="0" w:line="360" w:lineRule="auto"/>
              <w:ind w:left="0" w:right="0"/>
              <w:rPr>
                <w:rFonts w:hint="default"/>
                <w:highlight w:val="none"/>
              </w:rPr>
            </w:pPr>
          </w:p>
        </w:tc>
        <w:tc>
          <w:tcPr>
            <w:tcW w:w="3115" w:type="dxa"/>
          </w:tcPr>
          <w:p w14:paraId="3358E5FC">
            <w:pPr>
              <w:keepNext w:val="0"/>
              <w:keepLines w:val="0"/>
              <w:suppressLineNumbers w:val="0"/>
              <w:topLinePunct/>
              <w:adjustRightInd w:val="0"/>
              <w:snapToGrid w:val="0"/>
              <w:spacing w:before="156" w:beforeLines="50" w:beforeAutospacing="0" w:after="0" w:afterAutospacing="0" w:line="360" w:lineRule="auto"/>
              <w:ind w:left="0" w:right="0"/>
              <w:rPr>
                <w:rFonts w:hint="default"/>
                <w:highlight w:val="none"/>
              </w:rPr>
            </w:pPr>
            <m:oMathPara>
              <m:oMath>
                <m:sSub>
                  <m:sSubPr>
                    <m:ctrlPr>
                      <w:rPr>
                        <w:rFonts w:hint="default" w:ascii="Cambria Math" w:hAnsi="Cambria Math"/>
                        <w:i/>
                        <w:highlight w:val="none"/>
                      </w:rPr>
                    </m:ctrlPr>
                  </m:sSubPr>
                  <m:e>
                    <m:r>
                      <m:rPr/>
                      <w:rPr>
                        <w:rFonts w:hint="default" w:ascii="Cambria Math" w:hAnsi="Cambria Math"/>
                        <w:highlight w:val="none"/>
                      </w:rPr>
                      <m:t>k</m:t>
                    </m:r>
                    <m:ctrlPr>
                      <w:rPr>
                        <w:rFonts w:hint="default" w:ascii="Cambria Math" w:hAnsi="Cambria Math"/>
                        <w:i/>
                        <w:highlight w:val="none"/>
                      </w:rPr>
                    </m:ctrlPr>
                  </m:e>
                  <m:sub>
                    <m:r>
                      <m:rPr/>
                      <w:rPr>
                        <w:rFonts w:hint="default" w:ascii="Cambria Math" w:hAnsi="Cambria Math"/>
                        <w:highlight w:val="none"/>
                      </w:rPr>
                      <m:t>p</m:t>
                    </m:r>
                    <m:ctrlPr>
                      <w:rPr>
                        <w:rFonts w:hint="default" w:ascii="Cambria Math" w:hAnsi="Cambria Math"/>
                        <w:i/>
                        <w:highlight w:val="none"/>
                      </w:rPr>
                    </m:ctrlPr>
                  </m:sub>
                </m:sSub>
                <m:r>
                  <m:rPr/>
                  <w:rPr>
                    <w:rFonts w:hint="default" w:ascii="Cambria Math" w:hAnsi="Cambria Math"/>
                    <w:highlight w:val="none"/>
                  </w:rPr>
                  <m:t>=b×</m:t>
                </m:r>
                <m:f>
                  <m:fPr>
                    <m:ctrlPr>
                      <w:rPr>
                        <w:rFonts w:hint="default" w:ascii="Cambria Math" w:hAnsi="Cambria Math"/>
                        <w:i/>
                        <w:highlight w:val="none"/>
                      </w:rPr>
                    </m:ctrlPr>
                  </m:fPr>
                  <m:num>
                    <m:r>
                      <m:rPr/>
                      <w:rPr>
                        <w:rFonts w:hint="default" w:ascii="Cambria Math" w:hAnsi="Cambria Math"/>
                        <w:highlight w:val="none"/>
                      </w:rPr>
                      <m:t>1</m:t>
                    </m:r>
                    <m:ctrlPr>
                      <w:rPr>
                        <w:rFonts w:hint="default" w:ascii="Cambria Math" w:hAnsi="Cambria Math"/>
                        <w:i/>
                        <w:highlight w:val="none"/>
                      </w:rPr>
                    </m:ctrlPr>
                  </m:num>
                  <m:den>
                    <m:sSub>
                      <m:sSubPr>
                        <m:ctrlPr>
                          <w:rPr>
                            <w:rFonts w:hint="default" w:ascii="Cambria Math" w:hAnsi="Cambria Math"/>
                            <w:i/>
                            <w:highlight w:val="none"/>
                          </w:rPr>
                        </m:ctrlPr>
                      </m:sSubPr>
                      <m:e>
                        <m:r>
                          <m:rPr/>
                          <w:rPr>
                            <w:rFonts w:hint="default" w:ascii="Cambria Math" w:hAnsi="Cambria Math"/>
                            <w:highlight w:val="none"/>
                          </w:rPr>
                          <m:t>P</m:t>
                        </m:r>
                        <m:ctrlPr>
                          <w:rPr>
                            <w:rFonts w:hint="default" w:ascii="Cambria Math" w:hAnsi="Cambria Math"/>
                            <w:i/>
                            <w:highlight w:val="none"/>
                          </w:rPr>
                        </m:ctrlPr>
                      </m:e>
                      <m:sub>
                        <m:r>
                          <m:rPr/>
                          <w:rPr>
                            <w:rFonts w:hint="default" w:ascii="Cambria Math" w:hAnsi="Cambria Math"/>
                            <w:highlight w:val="none"/>
                          </w:rPr>
                          <m:t>m</m:t>
                        </m:r>
                        <m:ctrlPr>
                          <w:rPr>
                            <w:rFonts w:hint="default" w:ascii="Cambria Math" w:hAnsi="Cambria Math"/>
                            <w:i/>
                            <w:highlight w:val="none"/>
                          </w:rPr>
                        </m:ctrlPr>
                      </m:sub>
                    </m:sSub>
                    <m:ctrlPr>
                      <w:rPr>
                        <w:rFonts w:hint="default" w:ascii="Cambria Math" w:hAnsi="Cambria Math"/>
                        <w:i/>
                        <w:highlight w:val="none"/>
                      </w:rPr>
                    </m:ctrlPr>
                  </m:den>
                </m:f>
                <m:r>
                  <m:rPr/>
                  <w:rPr>
                    <w:rFonts w:hint="default" w:ascii="Cambria Math" w:hAnsi="Cambria Math"/>
                    <w:highlight w:val="none"/>
                  </w:rPr>
                  <m:t>+</m:t>
                </m:r>
                <m:sSub>
                  <m:sSubPr>
                    <m:ctrlPr>
                      <w:rPr>
                        <w:rFonts w:hint="default" w:ascii="Cambria Math" w:hAnsi="Cambria Math"/>
                        <w:i/>
                        <w:highlight w:val="none"/>
                      </w:rPr>
                    </m:ctrlPr>
                  </m:sSubPr>
                  <m:e>
                    <m:r>
                      <m:rPr/>
                      <w:rPr>
                        <w:rFonts w:hint="default" w:ascii="Cambria Math" w:hAnsi="Cambria Math"/>
                        <w:highlight w:val="none"/>
                      </w:rPr>
                      <m:t>k</m:t>
                    </m:r>
                    <m:ctrlPr>
                      <w:rPr>
                        <w:rFonts w:hint="default" w:ascii="Cambria Math" w:hAnsi="Cambria Math"/>
                        <w:i/>
                        <w:highlight w:val="none"/>
                      </w:rPr>
                    </m:ctrlPr>
                  </m:e>
                  <m:sub>
                    <m:r>
                      <m:rPr/>
                      <w:rPr>
                        <w:rFonts w:hint="default" w:ascii="Cambria Math" w:hAnsi="Cambria Math"/>
                        <w:highlight w:val="none"/>
                      </w:rPr>
                      <m:t>v</m:t>
                    </m:r>
                    <m:ctrlPr>
                      <w:rPr>
                        <w:rFonts w:hint="default" w:ascii="Cambria Math" w:hAnsi="Cambria Math"/>
                        <w:i/>
                        <w:highlight w:val="none"/>
                      </w:rPr>
                    </m:ctrlPr>
                  </m:sub>
                </m:sSub>
              </m:oMath>
            </m:oMathPara>
          </w:p>
        </w:tc>
        <w:tc>
          <w:tcPr>
            <w:tcW w:w="3115" w:type="dxa"/>
            <w:vAlign w:val="center"/>
          </w:tcPr>
          <w:p w14:paraId="747BD3B4">
            <w:pPr>
              <w:keepNext w:val="0"/>
              <w:keepLines w:val="0"/>
              <w:suppressLineNumbers w:val="0"/>
              <w:topLinePunct/>
              <w:adjustRightInd w:val="0"/>
              <w:snapToGrid w:val="0"/>
              <w:spacing w:before="156" w:beforeLines="50" w:beforeAutospacing="0" w:after="0" w:afterAutospacing="0" w:line="360" w:lineRule="auto"/>
              <w:ind w:left="0" w:right="0"/>
              <w:jc w:val="right"/>
              <w:rPr>
                <w:rFonts w:hint="default"/>
                <w:highlight w:val="none"/>
              </w:rPr>
            </w:pPr>
            <w:r>
              <w:rPr>
                <w:rFonts w:hint="default"/>
                <w:highlight w:val="none"/>
              </w:rPr>
              <w:t>（</w:t>
            </w:r>
            <w:r>
              <w:rPr>
                <w:rFonts w:hint="default" w:ascii="Times New Roman" w:hAnsi="Times New Roman" w:cs="Times New Roman"/>
                <w:color w:val="auto"/>
                <w:highlight w:val="none"/>
                <w:lang w:eastAsia="zh-CN"/>
              </w:rPr>
              <w:t>7.</w:t>
            </w:r>
            <w:r>
              <w:rPr>
                <w:rFonts w:hint="eastAsia" w:cs="Times New Roman"/>
                <w:color w:val="auto"/>
                <w:highlight w:val="none"/>
                <w:lang w:val="en-US" w:eastAsia="zh-CN"/>
              </w:rPr>
              <w:t>6</w:t>
            </w:r>
            <w:r>
              <w:rPr>
                <w:rFonts w:hint="default" w:ascii="Times New Roman" w:hAnsi="Times New Roman" w:cs="Times New Roman"/>
                <w:color w:val="auto"/>
                <w:highlight w:val="none"/>
              </w:rPr>
              <w:t>.</w:t>
            </w:r>
            <w:r>
              <w:rPr>
                <w:rFonts w:hint="eastAsia" w:cs="Times New Roman"/>
                <w:color w:val="auto"/>
                <w:highlight w:val="none"/>
                <w:lang w:val="en-US" w:eastAsia="zh-CN"/>
              </w:rPr>
              <w:t>6</w:t>
            </w:r>
            <w:r>
              <w:rPr>
                <w:rFonts w:hint="default"/>
                <w:highlight w:val="none"/>
              </w:rPr>
              <w:t>）</w:t>
            </w:r>
          </w:p>
        </w:tc>
      </w:tr>
    </w:tbl>
    <w:p w14:paraId="07A5D40B">
      <w:pPr>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w:t>
      </w:r>
    </w:p>
    <w:p w14:paraId="15B38E94">
      <w:pPr>
        <w:ind w:firstLine="420" w:firstLineChars="200"/>
        <w:rPr>
          <w:color w:val="000000" w:themeColor="text1"/>
          <w:highlight w:val="none"/>
          <w14:textFill>
            <w14:solidFill>
              <w14:schemeClr w14:val="tx1"/>
            </w14:solidFill>
          </w14:textFill>
        </w:rPr>
      </w:pPr>
      <w:r>
        <w:rPr>
          <w:i/>
          <w:iCs/>
          <w:color w:val="000000" w:themeColor="text1"/>
          <w:highlight w:val="none"/>
          <w14:textFill>
            <w14:solidFill>
              <w14:schemeClr w14:val="tx1"/>
            </w14:solidFill>
          </w14:textFill>
        </w:rPr>
        <w:t>k</w:t>
      </w:r>
      <w:r>
        <w:rPr>
          <w:rFonts w:hint="eastAsia"/>
          <w:color w:val="000000" w:themeColor="text1"/>
          <w:highlight w:val="none"/>
          <w:vertAlign w:val="subscript"/>
          <w14:textFill>
            <w14:solidFill>
              <w14:schemeClr w14:val="tx1"/>
            </w14:solidFill>
          </w14:textFill>
        </w:rPr>
        <w:t>v</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混凝土固有</w:t>
      </w:r>
      <w:r>
        <w:rPr>
          <w:color w:val="000000" w:themeColor="text1"/>
          <w:highlight w:val="none"/>
          <w14:textFill>
            <w14:solidFill>
              <w14:schemeClr w14:val="tx1"/>
            </w14:solidFill>
          </w14:textFill>
        </w:rPr>
        <w:t>气体渗透率</w:t>
      </w:r>
      <w:r>
        <w:rPr>
          <w:rFonts w:hint="eastAsia"/>
          <w:color w:val="000000" w:themeColor="text1"/>
          <w:highlight w:val="none"/>
          <w14:textFill>
            <w14:solidFill>
              <w14:schemeClr w14:val="tx1"/>
            </w14:solidFill>
          </w14:textFill>
        </w:rPr>
        <w:t>，单位为平方米</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bookmarkStart w:id="186" w:name="_Hlk129276906"/>
      <w:r>
        <w:rPr>
          <w:rFonts w:hint="eastAsia"/>
          <w:color w:val="000000" w:themeColor="text1"/>
          <w:highlight w:val="none"/>
          <w14:textFill>
            <w14:solidFill>
              <w14:schemeClr w14:val="tx1"/>
            </w14:solidFill>
          </w14:textFill>
        </w:rPr>
        <w:t>结果采用科学计数法表示，保留两位有效数字，精确到小数点后一位；</w:t>
      </w:r>
      <w:bookmarkEnd w:id="186"/>
    </w:p>
    <w:p w14:paraId="173D4BDA">
      <w:pPr>
        <w:ind w:firstLine="420" w:firstLineChars="200"/>
        <w:rPr>
          <w:color w:val="000000" w:themeColor="text1"/>
          <w:highlight w:val="none"/>
          <w14:textFill>
            <w14:solidFill>
              <w14:schemeClr w14:val="tx1"/>
            </w14:solidFill>
          </w14:textFill>
        </w:rPr>
      </w:pPr>
      <w:r>
        <w:rPr>
          <w:i/>
          <w:iCs/>
          <w:color w:val="000000" w:themeColor="text1"/>
          <w:highlight w:val="none"/>
          <w14:textFill>
            <w14:solidFill>
              <w14:schemeClr w14:val="tx1"/>
            </w14:solidFill>
          </w14:textFill>
        </w:rPr>
        <w:t>P</w:t>
      </w:r>
      <w:r>
        <w:rPr>
          <w:color w:val="000000" w:themeColor="text1"/>
          <w:highlight w:val="none"/>
          <w:vertAlign w:val="subscript"/>
          <w14:textFill>
            <w14:solidFill>
              <w14:schemeClr w14:val="tx1"/>
            </w14:solidFill>
          </w14:textFill>
        </w:rPr>
        <w:t>m</w:t>
      </w:r>
      <w:r>
        <w:rPr>
          <w:color w:val="000000" w:themeColor="text1"/>
          <w:highlight w:val="none"/>
          <w14:textFill>
            <w14:solidFill>
              <w14:schemeClr w14:val="tx1"/>
            </w14:solidFill>
          </w14:textFill>
        </w:rPr>
        <w:t>——渗透单元进气嘴</w:t>
      </w:r>
      <w:r>
        <w:rPr>
          <w:rFonts w:hint="eastAsia"/>
          <w:color w:val="000000" w:themeColor="text1"/>
          <w:highlight w:val="none"/>
          <w14:textFill>
            <w14:solidFill>
              <w14:schemeClr w14:val="tx1"/>
            </w14:solidFill>
          </w14:textFill>
        </w:rPr>
        <w:t>绝对压力</w:t>
      </w:r>
      <w:r>
        <w:rPr>
          <w:color w:val="000000" w:themeColor="text1"/>
          <w:highlight w:val="none"/>
          <w14:textFill>
            <w14:solidFill>
              <w14:schemeClr w14:val="tx1"/>
            </w14:solidFill>
          </w14:textFill>
        </w:rPr>
        <w:t>和出气嘴</w:t>
      </w:r>
      <w:r>
        <w:rPr>
          <w:rFonts w:hint="eastAsia"/>
          <w:color w:val="000000" w:themeColor="text1"/>
          <w:highlight w:val="none"/>
          <w14:textFill>
            <w14:solidFill>
              <w14:schemeClr w14:val="tx1"/>
            </w14:solidFill>
          </w14:textFill>
        </w:rPr>
        <w:t>绝对压力的平均值，单位为帕</w:t>
      </w:r>
      <w:r>
        <w:rPr>
          <w:color w:val="000000" w:themeColor="text1"/>
          <w:highlight w:val="none"/>
          <w14:textFill>
            <w14:solidFill>
              <w14:schemeClr w14:val="tx1"/>
            </w14:solidFill>
          </w14:textFill>
        </w:rPr>
        <w:t>（Pa）</w:t>
      </w:r>
      <w:r>
        <w:rPr>
          <w:rFonts w:hint="eastAsia"/>
          <w:color w:val="000000" w:themeColor="text1"/>
          <w:highlight w:val="none"/>
          <w14:textFill>
            <w14:solidFill>
              <w14:schemeClr w14:val="tx1"/>
            </w14:solidFill>
          </w14:textFill>
        </w:rPr>
        <w:t>；</w:t>
      </w:r>
    </w:p>
    <w:p w14:paraId="15B8BE5C">
      <w:pPr>
        <w:ind w:firstLine="420" w:firstLineChars="200"/>
        <w:rPr>
          <w:color w:val="000000" w:themeColor="text1"/>
          <w:highlight w:val="none"/>
          <w14:textFill>
            <w14:solidFill>
              <w14:schemeClr w14:val="tx1"/>
            </w14:solidFill>
          </w14:textFill>
        </w:rPr>
      </w:pPr>
      <w:r>
        <w:rPr>
          <w:rFonts w:hint="eastAsia"/>
          <w:i/>
          <w:iCs/>
          <w:color w:val="000000" w:themeColor="text1"/>
          <w:highlight w:val="none"/>
          <w14:textFill>
            <w14:solidFill>
              <w14:schemeClr w14:val="tx1"/>
            </w14:solidFill>
          </w14:textFill>
        </w:rPr>
        <w:t>b</w:t>
      </w:r>
      <w:r>
        <w:rPr>
          <w:i/>
          <w:iCs/>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拟合系数。</w:t>
      </w:r>
    </w:p>
    <w:p w14:paraId="7B2AECA6">
      <w:pPr>
        <w:widowControl/>
        <w:ind w:left="420" w:hanging="422" w:hangingChars="200"/>
        <w:jc w:val="left"/>
        <w:rPr>
          <w:rFonts w:ascii="黑体" w:hAnsi="黑体" w:eastAsia="黑体"/>
          <w:color w:val="000000" w:themeColor="text1"/>
          <w:kern w:val="0"/>
          <w:szCs w:val="20"/>
          <w:highlight w:val="none"/>
          <w14:textFill>
            <w14:solidFill>
              <w14:schemeClr w14:val="tx1"/>
            </w14:solidFill>
          </w14:textFill>
        </w:rPr>
      </w:pPr>
      <w:r>
        <w:rPr>
          <w:rFonts w:hint="default" w:ascii="Times New Roman" w:hAnsi="Times New Roman" w:eastAsia="黑体" w:cs="Times New Roman"/>
          <w:b/>
          <w:bCs/>
          <w:color w:val="auto"/>
          <w:szCs w:val="21"/>
          <w:highlight w:val="none"/>
          <w:lang w:eastAsia="zh-CN"/>
        </w:rPr>
        <w:t>7.</w:t>
      </w:r>
      <w:r>
        <w:rPr>
          <w:rFonts w:hint="eastAsia" w:eastAsia="黑体" w:cs="Times New Roman"/>
          <w:b/>
          <w:bCs/>
          <w:color w:val="auto"/>
          <w:szCs w:val="21"/>
          <w:highlight w:val="none"/>
          <w:lang w:val="en-US" w:eastAsia="zh-CN"/>
        </w:rPr>
        <w:t>6</w:t>
      </w:r>
      <w:r>
        <w:rPr>
          <w:rFonts w:ascii="Times New Roman" w:hAnsi="Times New Roman" w:eastAsia="黑体" w:cs="Times New Roman"/>
          <w:b/>
          <w:bCs/>
          <w:color w:val="auto"/>
          <w:szCs w:val="21"/>
          <w:highlight w:val="none"/>
        </w:rPr>
        <w:t>.</w:t>
      </w:r>
      <w:r>
        <w:rPr>
          <w:rFonts w:hint="eastAsia" w:eastAsia="黑体" w:cs="Times New Roman"/>
          <w:b/>
          <w:bCs/>
          <w:color w:val="auto"/>
          <w:szCs w:val="21"/>
          <w:highlight w:val="none"/>
          <w:lang w:val="en-US" w:eastAsia="zh-CN"/>
        </w:rPr>
        <w:t>7</w:t>
      </w:r>
      <w:r>
        <w:rPr>
          <w:rFonts w:hint="eastAsia" w:ascii="黑体" w:hAnsi="黑体"/>
          <w:color w:val="000000" w:themeColor="text1"/>
          <w:highlight w:val="none"/>
          <w14:textFill>
            <w14:solidFill>
              <w14:schemeClr w14:val="tx1"/>
            </w14:solidFill>
          </w14:textFill>
        </w:rPr>
        <w:t xml:space="preserve"> </w:t>
      </w:r>
      <w:r>
        <w:rPr>
          <w:rFonts w:hint="default" w:ascii="Times New Roman" w:hAnsi="Times New Roman" w:eastAsia="宋体"/>
          <w:color w:val="auto"/>
          <w:kern w:val="2"/>
          <w:szCs w:val="24"/>
          <w:highlight w:val="none"/>
        </w:rPr>
        <w:t>结果的确定</w:t>
      </w:r>
      <w:r>
        <w:rPr>
          <w:rFonts w:ascii="Times New Roman" w:hAnsi="Times New Roman" w:cs="Times New Roman"/>
          <w:color w:val="auto"/>
          <w:highlight w:val="none"/>
        </w:rPr>
        <w:t>应符合下列规定：</w:t>
      </w:r>
    </w:p>
    <w:p w14:paraId="0AD826C2">
      <w:pPr>
        <w:pStyle w:val="53"/>
        <w:ind w:firstLine="420"/>
        <w:rPr>
          <w:rFonts w:ascii="Times New Roman"/>
          <w:color w:val="000000" w:themeColor="text1"/>
          <w:highlight w:val="none"/>
          <w14:textFill>
            <w14:solidFill>
              <w14:schemeClr w14:val="tx1"/>
            </w14:solidFill>
          </w14:textFill>
        </w:rPr>
      </w:pPr>
      <w:bookmarkStart w:id="187" w:name="_Hlk129272617"/>
      <w:r>
        <w:rPr>
          <w:rFonts w:hint="eastAsia" w:ascii="Times New Roman"/>
          <w:color w:val="000000" w:themeColor="text1"/>
          <w:highlight w:val="none"/>
          <w14:textFill>
            <w14:solidFill>
              <w14:schemeClr w14:val="tx1"/>
            </w14:solidFill>
          </w14:textFill>
        </w:rPr>
        <w:t>混凝土</w:t>
      </w:r>
      <w:r>
        <w:rPr>
          <w:rFonts w:ascii="Times New Roman"/>
          <w:color w:val="000000" w:themeColor="text1"/>
          <w:highlight w:val="none"/>
          <w14:textFill>
            <w14:solidFill>
              <w14:schemeClr w14:val="tx1"/>
            </w14:solidFill>
          </w14:textFill>
        </w:rPr>
        <w:t>气体渗透率的</w:t>
      </w:r>
      <w:r>
        <w:rPr>
          <w:rFonts w:hint="eastAsia" w:ascii="Times New Roman"/>
          <w:color w:val="000000" w:themeColor="text1"/>
          <w:highlight w:val="none"/>
          <w14:textFill>
            <w14:solidFill>
              <w14:schemeClr w14:val="tx1"/>
            </w14:solidFill>
          </w14:textFill>
        </w:rPr>
        <w:t>测试结果的确定应符合下列规定：</w:t>
      </w:r>
    </w:p>
    <w:p w14:paraId="4B98BF40">
      <w:pPr>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a）取</w:t>
      </w:r>
      <w:r>
        <w:rPr>
          <w:color w:val="000000" w:themeColor="text1"/>
          <w:highlight w:val="none"/>
          <w14:textFill>
            <w14:solidFill>
              <w14:schemeClr w14:val="tx1"/>
            </w14:solidFill>
          </w14:textFill>
        </w:rPr>
        <w:t>3个混凝土试件固有气体渗透率</w:t>
      </w:r>
      <w:r>
        <w:rPr>
          <w:rFonts w:hint="eastAsia"/>
          <w:color w:val="000000" w:themeColor="text1"/>
          <w:highlight w:val="none"/>
          <w14:textFill>
            <w14:solidFill>
              <w14:schemeClr w14:val="tx1"/>
            </w14:solidFill>
          </w14:textFill>
        </w:rPr>
        <w:t>测值</w:t>
      </w:r>
      <w:r>
        <w:rPr>
          <w:color w:val="000000" w:themeColor="text1"/>
          <w:highlight w:val="none"/>
          <w14:textFill>
            <w14:solidFill>
              <w14:schemeClr w14:val="tx1"/>
            </w14:solidFill>
          </w14:textFill>
        </w:rPr>
        <w:t>的</w:t>
      </w:r>
      <w:r>
        <w:rPr>
          <w:rFonts w:hint="eastAsia"/>
          <w:color w:val="000000" w:themeColor="text1"/>
          <w:highlight w:val="none"/>
          <w14:textFill>
            <w14:solidFill>
              <w14:schemeClr w14:val="tx1"/>
            </w14:solidFill>
          </w14:textFill>
        </w:rPr>
        <w:t>算术</w:t>
      </w:r>
      <w:r>
        <w:rPr>
          <w:color w:val="000000" w:themeColor="text1"/>
          <w:highlight w:val="none"/>
          <w14:textFill>
            <w14:solidFill>
              <w14:schemeClr w14:val="tx1"/>
            </w14:solidFill>
          </w14:textFill>
        </w:rPr>
        <w:t>平均值</w:t>
      </w:r>
      <w:r>
        <w:rPr>
          <w:rFonts w:hint="eastAsia"/>
          <w:color w:val="000000" w:themeColor="text1"/>
          <w:highlight w:val="none"/>
          <w14:textFill>
            <w14:solidFill>
              <w14:schemeClr w14:val="tx1"/>
            </w14:solidFill>
          </w14:textFill>
        </w:rPr>
        <w:t>作为混凝土气体渗透率的测试结果，结果采用科学计数法表示，保留两位有效数字，精确到小数点后一位；</w:t>
      </w:r>
    </w:p>
    <w:p w14:paraId="2E77A30A">
      <w:pPr>
        <w:pStyle w:val="53"/>
        <w:ind w:firstLine="42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b</w:t>
      </w:r>
      <w:r>
        <w:rPr>
          <w:rFonts w:hint="eastAsia" w:ascii="Times New Roman"/>
          <w:color w:val="000000" w:themeColor="text1"/>
          <w:highlight w:val="none"/>
          <w14:textFill>
            <w14:solidFill>
              <w14:schemeClr w14:val="tx1"/>
            </w14:solidFill>
          </w14:textFill>
        </w:rPr>
        <w:t>）当3个测值中的最大值或最小值中有一个与中间值的差值超过中间值的30%时，应把最大及最小值剔除，取中间值作为混凝土气体渗透率的测试结果；</w:t>
      </w:r>
    </w:p>
    <w:p w14:paraId="37E468C5">
      <w:pPr>
        <w:pStyle w:val="53"/>
        <w:ind w:firstLine="42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c</w:t>
      </w:r>
      <w:r>
        <w:rPr>
          <w:rFonts w:hint="eastAsia" w:ascii="Times New Roman"/>
          <w:color w:val="000000" w:themeColor="text1"/>
          <w:highlight w:val="none"/>
          <w14:textFill>
            <w14:solidFill>
              <w14:schemeClr w14:val="tx1"/>
            </w14:solidFill>
          </w14:textFill>
        </w:rPr>
        <w:t>）当最大值和最小值与中间值的差值均超过中间值的30%时，该组试件的试验结果无效。</w:t>
      </w:r>
    </w:p>
    <w:bookmarkEnd w:id="187"/>
    <w:p w14:paraId="5601083C">
      <w:pPr>
        <w:numPr>
          <w:ilvl w:val="-1"/>
          <w:numId w:val="0"/>
        </w:numPr>
        <w:kinsoku/>
        <w:overflowPunct/>
        <w:topLinePunct w:val="0"/>
        <w:bidi w:val="0"/>
        <w:adjustRightInd/>
        <w:snapToGrid/>
        <w:spacing w:before="0" w:beforeLines="-2147483648" w:after="0" w:afterLines="-2147483648" w:line="360" w:lineRule="auto"/>
        <w:outlineLvl w:val="9"/>
        <w:rPr>
          <w:rFonts w:hint="default" w:ascii="Times New Roman" w:hAnsi="Times New Roman" w:eastAsia="黑体" w:cs="Times New Roman"/>
          <w:color w:val="auto"/>
          <w:sz w:val="21"/>
          <w:szCs w:val="21"/>
          <w:highlight w:val="none"/>
          <w:lang w:val="en-US" w:eastAsia="zh-CN" w:bidi="ar-SA"/>
        </w:rPr>
      </w:pPr>
      <w:r>
        <w:rPr>
          <w:rFonts w:hint="default" w:ascii="Times New Roman" w:hAnsi="Times New Roman" w:eastAsia="黑体" w:cs="Times New Roman"/>
          <w:color w:val="auto"/>
          <w:sz w:val="21"/>
          <w:szCs w:val="21"/>
          <w:highlight w:val="none"/>
          <w:lang w:val="en-US" w:eastAsia="zh-CN" w:bidi="ar-SA"/>
        </w:rPr>
        <w:br w:type="page"/>
      </w:r>
    </w:p>
    <w:p w14:paraId="755B9DC3">
      <w:pPr>
        <w:numPr>
          <w:ilvl w:val="0"/>
          <w:numId w:val="0"/>
        </w:numPr>
        <w:kinsoku/>
        <w:overflowPunct/>
        <w:topLinePunct w:val="0"/>
        <w:bidi w:val="0"/>
        <w:adjustRightInd/>
        <w:snapToGrid/>
        <w:spacing w:before="156" w:beforeLines="50" w:after="156" w:afterLines="50" w:line="360" w:lineRule="auto"/>
        <w:outlineLvl w:val="1"/>
        <w:rPr>
          <w:rFonts w:hint="default" w:ascii="Times New Roman" w:hAnsi="Times New Roman" w:eastAsia="黑体" w:cs="Times New Roman"/>
          <w:bCs/>
          <w:color w:val="auto"/>
          <w:szCs w:val="21"/>
          <w:highlight w:val="none"/>
        </w:rPr>
      </w:pPr>
      <w:bookmarkStart w:id="188" w:name="_Toc29977"/>
      <w:r>
        <w:rPr>
          <w:rFonts w:hint="default" w:ascii="Times New Roman" w:hAnsi="Times New Roman" w:eastAsia="黑体" w:cs="Times New Roman"/>
          <w:color w:val="auto"/>
          <w:sz w:val="21"/>
          <w:szCs w:val="21"/>
          <w:highlight w:val="none"/>
          <w:lang w:val="en-US" w:eastAsia="zh-CN" w:bidi="ar-SA"/>
        </w:rPr>
        <w:t>7.</w:t>
      </w:r>
      <w:r>
        <w:rPr>
          <w:rFonts w:hint="eastAsia" w:eastAsia="黑体" w:cs="Times New Roman"/>
          <w:color w:val="auto"/>
          <w:sz w:val="21"/>
          <w:szCs w:val="21"/>
          <w:highlight w:val="none"/>
          <w:lang w:val="en-US" w:eastAsia="zh-CN" w:bidi="ar-SA"/>
        </w:rPr>
        <w:t>7</w:t>
      </w:r>
      <w:r>
        <w:rPr>
          <w:rFonts w:hint="default" w:ascii="Times New Roman" w:hAnsi="Times New Roman" w:eastAsia="黑体" w:cs="Times New Roman"/>
          <w:color w:val="auto"/>
          <w:sz w:val="21"/>
          <w:szCs w:val="21"/>
          <w:highlight w:val="none"/>
          <w:lang w:val="en-US" w:eastAsia="zh-CN" w:bidi="ar-SA"/>
        </w:rPr>
        <w:t xml:space="preserve"> 毛细吸水</w:t>
      </w:r>
      <w:r>
        <w:rPr>
          <w:rFonts w:hint="eastAsia" w:ascii="Times New Roman" w:hAnsi="Times New Roman" w:eastAsia="黑体" w:cs="Times New Roman"/>
          <w:color w:val="auto"/>
          <w:sz w:val="21"/>
          <w:szCs w:val="21"/>
          <w:highlight w:val="none"/>
          <w:lang w:val="en-US" w:eastAsia="zh-CN" w:bidi="ar-SA"/>
        </w:rPr>
        <w:t>速</w:t>
      </w:r>
      <w:r>
        <w:rPr>
          <w:rFonts w:hint="default" w:ascii="Times New Roman" w:hAnsi="Times New Roman" w:eastAsia="黑体" w:cs="Times New Roman"/>
          <w:color w:val="auto"/>
          <w:sz w:val="21"/>
          <w:szCs w:val="21"/>
          <w:highlight w:val="none"/>
          <w:lang w:val="en-US" w:eastAsia="zh-CN" w:bidi="ar-SA"/>
        </w:rPr>
        <w:t>率试验</w:t>
      </w:r>
      <w:bookmarkEnd w:id="188"/>
    </w:p>
    <w:p w14:paraId="27262560">
      <w:pPr>
        <w:keepNext w:val="0"/>
        <w:keepLines w:val="0"/>
        <w:pageBreakBefore w:val="0"/>
        <w:widowControl w:val="0"/>
        <w:numPr>
          <w:ilvl w:val="-1"/>
          <w:numId w:val="0"/>
        </w:numPr>
        <w:kinsoku/>
        <w:wordWrap/>
        <w:overflowPunct/>
        <w:topLinePunct/>
        <w:autoSpaceDE/>
        <w:autoSpaceDN/>
        <w:bidi w:val="0"/>
        <w:adjustRightInd w:val="0"/>
        <w:snapToGrid w:val="0"/>
        <w:spacing w:before="0" w:beforeLines="-2147483648" w:after="0" w:afterLines="-2147483648" w:line="360" w:lineRule="auto"/>
        <w:ind w:leftChars="0" w:firstLine="0" w:firstLineChars="0"/>
        <w:textAlignment w:val="auto"/>
        <w:outlineLvl w:val="9"/>
        <w:rPr>
          <w:rFonts w:hint="eastAsia" w:ascii="宋体" w:hAnsi="宋体" w:eastAsia="宋体" w:cs="宋体"/>
          <w:b w:val="0"/>
          <w:bCs/>
          <w:color w:val="auto"/>
          <w:szCs w:val="21"/>
          <w:highlight w:val="none"/>
          <w:lang w:val="en-US" w:eastAsia="zh-CN"/>
        </w:rPr>
      </w:pPr>
      <w:r>
        <w:rPr>
          <w:rFonts w:hint="default" w:ascii="Times New Roman" w:hAnsi="Times New Roman" w:eastAsia="黑体" w:cs="Times New Roman"/>
          <w:b/>
          <w:bCs/>
          <w:color w:val="auto"/>
          <w:szCs w:val="21"/>
          <w:highlight w:val="none"/>
          <w:lang w:val="en-US" w:eastAsia="zh-CN"/>
        </w:rPr>
        <w:t>7.</w:t>
      </w:r>
      <w:r>
        <w:rPr>
          <w:rFonts w:hint="eastAsia" w:eastAsia="黑体" w:cs="Times New Roman"/>
          <w:b/>
          <w:bCs/>
          <w:color w:val="auto"/>
          <w:szCs w:val="21"/>
          <w:highlight w:val="none"/>
          <w:lang w:val="en-US" w:eastAsia="zh-CN"/>
        </w:rPr>
        <w:t>7</w:t>
      </w:r>
      <w:r>
        <w:rPr>
          <w:rFonts w:hint="eastAsia" w:ascii="宋体" w:hAnsi="宋体" w:eastAsia="宋体" w:cs="宋体"/>
          <w:b/>
          <w:bCs/>
          <w:color w:val="auto"/>
          <w:szCs w:val="21"/>
          <w:highlight w:val="none"/>
          <w:lang w:val="en-US" w:eastAsia="zh-CN"/>
        </w:rPr>
        <w:t>.1</w:t>
      </w:r>
      <w:r>
        <w:rPr>
          <w:rFonts w:hint="eastAsia" w:ascii="宋体" w:hAnsi="宋体" w:eastAsia="宋体" w:cs="宋体"/>
          <w:b w:val="0"/>
          <w:bCs/>
          <w:color w:val="auto"/>
          <w:szCs w:val="21"/>
          <w:highlight w:val="none"/>
          <w:lang w:val="en-US" w:eastAsia="zh-CN"/>
        </w:rPr>
        <w:t xml:space="preserve">  </w:t>
      </w:r>
      <w:r>
        <w:rPr>
          <w:rFonts w:hint="eastAsia" w:ascii="宋体" w:hAnsi="宋体" w:cs="宋体"/>
          <w:bCs w:val="0"/>
          <w:color w:val="auto"/>
          <w:szCs w:val="21"/>
          <w:highlight w:val="none"/>
        </w:rPr>
        <w:t>本方法适用于</w:t>
      </w:r>
      <w:r>
        <w:rPr>
          <w:rFonts w:hint="eastAsia" w:ascii="宋体" w:hAnsi="宋体" w:cs="宋体"/>
          <w:bCs w:val="0"/>
          <w:color w:val="auto"/>
          <w:szCs w:val="21"/>
          <w:highlight w:val="none"/>
          <w:lang w:val="en-US" w:eastAsia="zh-CN"/>
        </w:rPr>
        <w:t>以</w:t>
      </w:r>
      <w:r>
        <w:rPr>
          <w:rFonts w:hint="eastAsia" w:ascii="宋体" w:hAnsi="宋体" w:cs="宋体"/>
          <w:bCs w:val="0"/>
          <w:color w:val="auto"/>
          <w:szCs w:val="21"/>
          <w:highlight w:val="none"/>
        </w:rPr>
        <w:t>测定超高性能混凝土的</w:t>
      </w:r>
      <w:r>
        <w:rPr>
          <w:rFonts w:hint="eastAsia" w:ascii="宋体" w:hAnsi="宋体" w:eastAsia="宋体" w:cs="宋体"/>
          <w:color w:val="auto"/>
          <w:sz w:val="21"/>
          <w:szCs w:val="21"/>
          <w:highlight w:val="none"/>
          <w:lang w:val="en-US" w:eastAsia="zh-CN" w:bidi="ar-SA"/>
        </w:rPr>
        <w:t>毛细吸水速率</w:t>
      </w:r>
      <w:r>
        <w:rPr>
          <w:rFonts w:hint="eastAsia" w:ascii="宋体" w:hAnsi="宋体" w:cs="宋体"/>
          <w:bCs w:val="0"/>
          <w:color w:val="auto"/>
          <w:szCs w:val="21"/>
          <w:highlight w:val="none"/>
        </w:rPr>
        <w:t>来确定超高性能混凝土</w:t>
      </w:r>
      <w:r>
        <w:rPr>
          <w:rFonts w:hint="eastAsia" w:ascii="宋体" w:hAnsi="宋体" w:cs="宋体"/>
          <w:bCs w:val="0"/>
          <w:color w:val="auto"/>
          <w:szCs w:val="21"/>
          <w:highlight w:val="none"/>
          <w:lang w:val="en-US" w:eastAsia="zh-CN"/>
        </w:rPr>
        <w:t>吸水</w:t>
      </w:r>
      <w:r>
        <w:rPr>
          <w:rFonts w:hint="eastAsia" w:ascii="宋体" w:hAnsi="宋体" w:cs="宋体"/>
          <w:bCs w:val="0"/>
          <w:color w:val="auto"/>
          <w:szCs w:val="21"/>
          <w:highlight w:val="none"/>
        </w:rPr>
        <w:t>性能。</w:t>
      </w:r>
    </w:p>
    <w:p w14:paraId="6427CC37">
      <w:pPr>
        <w:widowControl w:val="0"/>
        <w:numPr>
          <w:ilvl w:val="-1"/>
          <w:numId w:val="0"/>
        </w:numPr>
        <w:kinsoku/>
        <w:overflowPunct/>
        <w:topLinePunct/>
        <w:bidi w:val="0"/>
        <w:adjustRightInd w:val="0"/>
        <w:snapToGrid w:val="0"/>
        <w:spacing w:before="0" w:beforeLines="-2147483648" w:after="0" w:afterLines="-2147483648" w:line="360" w:lineRule="auto"/>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bCs/>
          <w:color w:val="auto"/>
          <w:szCs w:val="21"/>
          <w:highlight w:val="none"/>
          <w:lang w:val="en-US" w:eastAsia="zh-CN"/>
        </w:rPr>
        <w:t>7.</w:t>
      </w:r>
      <w:r>
        <w:rPr>
          <w:rFonts w:hint="eastAsia" w:ascii="宋体" w:hAnsi="宋体" w:cs="宋体"/>
          <w:b/>
          <w:bCs/>
          <w:color w:val="auto"/>
          <w:szCs w:val="21"/>
          <w:highlight w:val="none"/>
          <w:lang w:val="en-US" w:eastAsia="zh-CN"/>
        </w:rPr>
        <w:t>7</w:t>
      </w:r>
      <w:r>
        <w:rPr>
          <w:rFonts w:hint="eastAsia" w:ascii="宋体" w:hAnsi="宋体" w:eastAsia="宋体" w:cs="宋体"/>
          <w:b/>
          <w:bCs/>
          <w:color w:val="auto"/>
          <w:szCs w:val="21"/>
          <w:highlight w:val="none"/>
          <w:lang w:val="en-US" w:eastAsia="zh-CN"/>
        </w:rPr>
        <w:t>.2</w:t>
      </w:r>
      <w:r>
        <w:rPr>
          <w:rFonts w:hint="eastAsia" w:ascii="宋体" w:hAnsi="宋体" w:eastAsia="宋体" w:cs="宋体"/>
          <w:b w:val="0"/>
          <w:bCs/>
          <w:color w:val="auto"/>
          <w:szCs w:val="21"/>
          <w:highlight w:val="none"/>
          <w:lang w:val="en-US" w:eastAsia="zh-CN"/>
        </w:rPr>
        <w:t xml:space="preserve">  </w:t>
      </w:r>
      <w:r>
        <w:rPr>
          <w:rFonts w:hint="eastAsia" w:ascii="宋体" w:hAnsi="宋体" w:eastAsia="宋体" w:cs="宋体"/>
          <w:b w:val="0"/>
          <w:bCs w:val="0"/>
          <w:color w:val="auto"/>
          <w:szCs w:val="21"/>
          <w:highlight w:val="none"/>
          <w:lang w:val="en-US" w:eastAsia="zh-CN"/>
          <w:woUserID w:val="0"/>
        </w:rPr>
        <w:t>试验器材应符合下列规定</w:t>
      </w:r>
      <w:r>
        <w:rPr>
          <w:rFonts w:hint="eastAsia" w:ascii="宋体" w:hAnsi="宋体" w:eastAsia="宋体" w:cs="宋体"/>
          <w:b w:val="0"/>
          <w:bCs/>
          <w:color w:val="auto"/>
          <w:szCs w:val="21"/>
          <w:highlight w:val="none"/>
          <w:lang w:val="en-US" w:eastAsia="zh-CN"/>
          <w:woUserID w:val="4"/>
        </w:rPr>
        <w:t>：</w:t>
      </w:r>
    </w:p>
    <w:p w14:paraId="689B308A">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val="0"/>
          <w:color w:val="auto"/>
          <w:szCs w:val="21"/>
          <w:highlight w:val="none"/>
          <w:lang w:val="en-US" w:eastAsia="zh-CN"/>
          <w:woUserID w:val="0"/>
        </w:rPr>
        <w:t>1  设备应符合下列规定</w:t>
      </w:r>
      <w:r>
        <w:rPr>
          <w:rFonts w:hint="eastAsia" w:ascii="宋体" w:hAnsi="宋体" w:eastAsia="宋体" w:cs="宋体"/>
          <w:b w:val="0"/>
          <w:bCs/>
          <w:color w:val="auto"/>
          <w:szCs w:val="21"/>
          <w:highlight w:val="none"/>
          <w:lang w:val="en-US" w:eastAsia="zh-CN"/>
          <w:woUserID w:val="4"/>
        </w:rPr>
        <w:t>：</w:t>
      </w:r>
    </w:p>
    <w:p w14:paraId="520AE1A7">
      <w:pPr>
        <w:pStyle w:val="125"/>
        <w:widowControl w:val="0"/>
        <w:numPr>
          <w:ilvl w:val="0"/>
          <w:numId w:val="16"/>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电子天平应符合GB/T 26497的规定，最大秤量应为待测</w:t>
      </w:r>
      <w:r>
        <w:rPr>
          <w:rFonts w:hint="eastAsia" w:ascii="宋体" w:hAnsi="宋体" w:eastAsia="宋体" w:cs="宋体"/>
          <w:b w:val="0"/>
          <w:bCs w:val="0"/>
          <w:color w:val="auto"/>
          <w:szCs w:val="21"/>
          <w:highlight w:val="none"/>
          <w:shd w:val="clear" w:color="000000" w:fill="FFFFFF"/>
          <w:lang w:val="en-US" w:eastAsia="zh"/>
          <w:woUserID w:val="0"/>
        </w:rPr>
        <w:t>超高性能混凝土</w:t>
      </w:r>
      <w:r>
        <w:rPr>
          <w:rFonts w:hint="eastAsia" w:ascii="宋体" w:hAnsi="宋体" w:eastAsia="宋体" w:cs="宋体"/>
          <w:b w:val="0"/>
          <w:bCs w:val="0"/>
          <w:color w:val="auto"/>
          <w:szCs w:val="21"/>
          <w:highlight w:val="none"/>
          <w:shd w:val="clear" w:color="000000" w:fill="FFFFFF"/>
          <w:lang w:val="en-US" w:eastAsia="zh-CN"/>
          <w:woUserID w:val="0"/>
        </w:rPr>
        <w:t>试件质量的1.25～5倍且不小于1500 g，分度值不大于0.01 g。</w:t>
      </w:r>
    </w:p>
    <w:p w14:paraId="5CBC6D77">
      <w:pPr>
        <w:pStyle w:val="125"/>
        <w:widowControl w:val="0"/>
        <w:numPr>
          <w:ilvl w:val="0"/>
          <w:numId w:val="16"/>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计时器应采用机械秒表或液晶数字式石英秒表，并分别符合GB/T 22773与GB/T 22778的规定。</w:t>
      </w:r>
    </w:p>
    <w:p w14:paraId="387CC8F8">
      <w:pPr>
        <w:pStyle w:val="125"/>
        <w:widowControl w:val="0"/>
        <w:numPr>
          <w:ilvl w:val="0"/>
          <w:numId w:val="16"/>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卡尺应符合GB/T 21389的规定，测量范围上限不小于150 mm。</w:t>
      </w:r>
    </w:p>
    <w:p w14:paraId="663355BE">
      <w:pPr>
        <w:pStyle w:val="125"/>
        <w:widowControl w:val="0"/>
        <w:numPr>
          <w:ilvl w:val="0"/>
          <w:numId w:val="16"/>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干燥箱应符合GB/T 30435的规定，最高工作温度应不高于200 ℃，带鼓风功能时应配备鼓风开关，宜采用侧壁夹套加热形成自然空气对流的干燥方式。</w:t>
      </w:r>
    </w:p>
    <w:p w14:paraId="54118209">
      <w:pPr>
        <w:pStyle w:val="125"/>
        <w:widowControl w:val="0"/>
        <w:numPr>
          <w:ilvl w:val="0"/>
          <w:numId w:val="16"/>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切锯机应满足JC/T 827的规定，并具备水冷降温功能。</w:t>
      </w:r>
    </w:p>
    <w:p w14:paraId="29DEF92C">
      <w:pPr>
        <w:pStyle w:val="125"/>
        <w:widowControl w:val="0"/>
        <w:numPr>
          <w:ilvl w:val="0"/>
          <w:numId w:val="16"/>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天平台应为三级减震天平台。</w:t>
      </w:r>
    </w:p>
    <w:p w14:paraId="71ED62BE">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2  容器、配件及耗材应符合下列规定：</w:t>
      </w:r>
    </w:p>
    <w:p w14:paraId="167B8498">
      <w:pPr>
        <w:pStyle w:val="125"/>
        <w:widowControl w:val="0"/>
        <w:numPr>
          <w:ilvl w:val="0"/>
          <w:numId w:val="17"/>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平底盘宜采用不锈钢、陶瓷等材质，盘内长度不小于500 mm，盘内宽度不小于200 mm，盘内高度为（50～100） mm；平底盘短边侧面对开直径为（5±0.2）mm的溢流孔，溢流孔下缘距离平底盆内底面（10±0.2）mm，如图7.6.2所示。</w:t>
      </w:r>
    </w:p>
    <w:p w14:paraId="3C457C14">
      <w:pPr>
        <w:pStyle w:val="125"/>
        <w:widowControl w:val="0"/>
        <w:numPr>
          <w:ilvl w:val="0"/>
          <w:numId w:val="17"/>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支撑件应采用不锈钢、聚四氟乙烯或其他耐强碱腐蚀、浸水不变形、不影响水溶液组成的高密度材质，断面宜为三角形、圆形或与试件吸水面呈非面接触的其他形状，高度为（5±0.2）mm。</w:t>
      </w:r>
    </w:p>
    <w:p w14:paraId="294A576A">
      <w:pPr>
        <w:pStyle w:val="125"/>
        <w:widowControl w:val="0"/>
        <w:numPr>
          <w:ilvl w:val="0"/>
          <w:numId w:val="17"/>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夹链自封袋应符合BB/T 0014的规定，长度和宽度均应比</w:t>
      </w:r>
      <w:r>
        <w:rPr>
          <w:rFonts w:hint="eastAsia" w:ascii="宋体" w:hAnsi="宋体" w:eastAsia="宋体" w:cs="宋体"/>
          <w:b w:val="0"/>
          <w:bCs w:val="0"/>
          <w:color w:val="auto"/>
          <w:szCs w:val="21"/>
          <w:highlight w:val="none"/>
          <w:shd w:val="clear" w:color="000000" w:fill="FFFFFF"/>
          <w:lang w:val="en-US" w:eastAsia="zh"/>
          <w:woUserID w:val="0"/>
        </w:rPr>
        <w:t>超高性能混凝土</w:t>
      </w:r>
      <w:r>
        <w:rPr>
          <w:rFonts w:hint="eastAsia" w:ascii="宋体" w:hAnsi="宋体" w:eastAsia="宋体" w:cs="宋体"/>
          <w:b w:val="0"/>
          <w:bCs w:val="0"/>
          <w:color w:val="auto"/>
          <w:szCs w:val="21"/>
          <w:highlight w:val="none"/>
          <w:shd w:val="clear" w:color="000000" w:fill="FFFFFF"/>
          <w:lang w:val="en-US" w:eastAsia="zh-CN"/>
          <w:woUserID w:val="0"/>
        </w:rPr>
        <w:t>试件的宽度（或直径）与高度之和大（20～30） mm，厚度不应小于0.2 mm。</w:t>
      </w:r>
    </w:p>
    <w:p w14:paraId="0A6D0404">
      <w:pPr>
        <w:pStyle w:val="125"/>
        <w:widowControl w:val="0"/>
        <w:numPr>
          <w:ilvl w:val="0"/>
          <w:numId w:val="17"/>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耐水砂纸的磨料粒度应为P180～P600。</w:t>
      </w:r>
    </w:p>
    <w:p w14:paraId="674BF36B">
      <w:pPr>
        <w:widowControl w:val="0"/>
        <w:numPr>
          <w:ilvl w:val="-1"/>
          <w:numId w:val="0"/>
        </w:numPr>
        <w:kinsoku/>
        <w:overflowPunct/>
        <w:topLinePunct/>
        <w:bidi w:val="0"/>
        <w:adjustRightInd w:val="0"/>
        <w:snapToGrid w:val="0"/>
        <w:spacing w:before="0" w:beforeLines="-2147483648" w:after="0" w:afterLines="-2147483648" w:line="360" w:lineRule="auto"/>
        <w:jc w:val="center"/>
        <w:outlineLvl w:val="9"/>
        <w:rPr>
          <w:rFonts w:hint="default"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Cs w:val="21"/>
          <w:highlight w:val="none"/>
          <w:lang w:val="en-US" w:eastAsia="zh-CN"/>
          <w:woUserID w:val="4"/>
        </w:rPr>
        <w:t xml:space="preserve"> </w:t>
      </w:r>
      <w:r>
        <w:rPr>
          <w:rFonts w:hint="default" w:ascii="宋体" w:hAnsi="宋体" w:eastAsia="宋体" w:cs="宋体"/>
          <w:b w:val="0"/>
          <w:bCs/>
          <w:color w:val="auto"/>
          <w:szCs w:val="21"/>
          <w:highlight w:val="none"/>
          <w:lang w:eastAsia="zh-CN"/>
          <w:woUserID w:val="4"/>
        </w:rPr>
        <w:drawing>
          <wp:inline distT="0" distB="0" distL="114300" distR="114300">
            <wp:extent cx="4324350" cy="1228725"/>
            <wp:effectExtent l="0" t="0" r="0" b="9525"/>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pic:cNvPicPr>
                  </pic:nvPicPr>
                  <pic:blipFill>
                    <a:blip r:embed="rId281"/>
                    <a:stretch>
                      <a:fillRect/>
                    </a:stretch>
                  </pic:blipFill>
                  <pic:spPr>
                    <a:xfrm>
                      <a:off x="0" y="0"/>
                      <a:ext cx="4324350" cy="1228725"/>
                    </a:xfrm>
                    <a:prstGeom prst="rect">
                      <a:avLst/>
                    </a:prstGeom>
                  </pic:spPr>
                </pic:pic>
              </a:graphicData>
            </a:graphic>
          </wp:inline>
        </w:drawing>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34"/>
        <w:gridCol w:w="851"/>
        <w:gridCol w:w="851"/>
        <w:gridCol w:w="851"/>
        <w:gridCol w:w="851"/>
        <w:gridCol w:w="1134"/>
        <w:gridCol w:w="1134"/>
        <w:gridCol w:w="1134"/>
      </w:tblGrid>
      <w:tr w14:paraId="43EF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auto"/>
            <w:vAlign w:val="top"/>
          </w:tcPr>
          <w:p w14:paraId="7AC1DE8E">
            <w:pPr>
              <w:keepNext w:val="0"/>
              <w:keepLines w:val="0"/>
              <w:widowControl/>
              <w:numPr>
                <w:ilvl w:val="-1"/>
                <w:numId w:val="0"/>
              </w:numPr>
              <w:suppressLineNumbers w:val="0"/>
              <w:kinsoku/>
              <w:overflowPunct/>
              <w:topLinePunct w:val="0"/>
              <w:bidi w:val="0"/>
              <w:adjustRightInd/>
              <w:snapToGrid/>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1</w:t>
            </w:r>
          </w:p>
        </w:tc>
        <w:tc>
          <w:tcPr>
            <w:tcW w:w="851" w:type="dxa"/>
            <w:tcBorders>
              <w:top w:val="single" w:color="auto" w:sz="4" w:space="0"/>
              <w:left w:val="single" w:color="auto" w:sz="4" w:space="0"/>
              <w:bottom w:val="single" w:color="auto" w:sz="4" w:space="0"/>
              <w:right w:val="single" w:color="auto" w:sz="4" w:space="0"/>
            </w:tcBorders>
            <w:shd w:val="clear" w:color="auto" w:fill="auto"/>
            <w:vAlign w:val="top"/>
          </w:tcPr>
          <w:p w14:paraId="11F5A5E8">
            <w:pPr>
              <w:keepNext w:val="0"/>
              <w:keepLines w:val="0"/>
              <w:widowControl/>
              <w:numPr>
                <w:ilvl w:val="-1"/>
                <w:numId w:val="0"/>
              </w:numPr>
              <w:suppressLineNumbers w:val="0"/>
              <w:kinsoku/>
              <w:overflowPunct/>
              <w:topLinePunct w:val="0"/>
              <w:bidi w:val="0"/>
              <w:adjustRightInd/>
              <w:snapToGrid/>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2</w:t>
            </w:r>
          </w:p>
        </w:tc>
        <w:tc>
          <w:tcPr>
            <w:tcW w:w="851" w:type="dxa"/>
            <w:tcBorders>
              <w:top w:val="single" w:color="auto" w:sz="4" w:space="0"/>
              <w:left w:val="single" w:color="auto" w:sz="4" w:space="0"/>
              <w:bottom w:val="single" w:color="auto" w:sz="4" w:space="0"/>
              <w:right w:val="single" w:color="auto" w:sz="4" w:space="0"/>
            </w:tcBorders>
            <w:shd w:val="clear" w:color="auto" w:fill="auto"/>
            <w:vAlign w:val="top"/>
          </w:tcPr>
          <w:p w14:paraId="62DE6639">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3</w:t>
            </w:r>
          </w:p>
        </w:tc>
        <w:tc>
          <w:tcPr>
            <w:tcW w:w="851" w:type="dxa"/>
            <w:tcBorders>
              <w:top w:val="single" w:color="auto" w:sz="4" w:space="0"/>
              <w:left w:val="single" w:color="auto" w:sz="4" w:space="0"/>
              <w:bottom w:val="single" w:color="auto" w:sz="4" w:space="0"/>
              <w:right w:val="single" w:color="auto" w:sz="4" w:space="0"/>
            </w:tcBorders>
            <w:shd w:val="clear" w:color="auto" w:fill="auto"/>
            <w:vAlign w:val="top"/>
          </w:tcPr>
          <w:p w14:paraId="5DCDD1DC">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4</w:t>
            </w:r>
          </w:p>
        </w:tc>
        <w:tc>
          <w:tcPr>
            <w:tcW w:w="851" w:type="dxa"/>
            <w:tcBorders>
              <w:top w:val="single" w:color="auto" w:sz="4" w:space="0"/>
              <w:left w:val="single" w:color="auto" w:sz="4" w:space="0"/>
              <w:bottom w:val="single" w:color="auto" w:sz="4" w:space="0"/>
              <w:right w:val="single" w:color="auto" w:sz="4" w:space="0"/>
            </w:tcBorders>
            <w:shd w:val="clear" w:color="auto" w:fill="auto"/>
            <w:vAlign w:val="top"/>
          </w:tcPr>
          <w:p w14:paraId="2636FC6B">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top"/>
          </w:tcPr>
          <w:p w14:paraId="74091280">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top"/>
          </w:tcPr>
          <w:p w14:paraId="3EBDE91E">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7</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top"/>
          </w:tcPr>
          <w:p w14:paraId="6BB2C715">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8</w:t>
            </w:r>
          </w:p>
        </w:tc>
      </w:tr>
      <w:tr w14:paraId="0E43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auto"/>
            <w:vAlign w:val="top"/>
          </w:tcPr>
          <w:p w14:paraId="44C8F1DE">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Cs w:val="21"/>
                <w:highlight w:val="none"/>
                <w:lang w:val="en-US" w:eastAsia="zh-CN"/>
                <w:woUserID w:val="4"/>
              </w:rPr>
              <w:t>50～100</w:t>
            </w:r>
          </w:p>
        </w:tc>
        <w:tc>
          <w:tcPr>
            <w:tcW w:w="851"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576FABF3">
            <w:pPr>
              <w:keepNext w:val="0"/>
              <w:keepLines w:val="0"/>
              <w:widowControl/>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Cs w:val="21"/>
                <w:highlight w:val="none"/>
                <w:lang w:val="en-US" w:eastAsia="zh"/>
                <w:woUserID w:val="4"/>
              </w:rPr>
              <w:t>≥</w:t>
            </w:r>
            <w:r>
              <w:rPr>
                <w:rFonts w:hint="eastAsia" w:ascii="宋体" w:hAnsi="宋体" w:eastAsia="宋体" w:cs="宋体"/>
                <w:b w:val="0"/>
                <w:bCs/>
                <w:color w:val="auto"/>
                <w:szCs w:val="21"/>
                <w:highlight w:val="none"/>
                <w:lang w:val="en-US" w:eastAsia="zh-CN"/>
                <w:woUserID w:val="4"/>
              </w:rPr>
              <w:t>50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top"/>
          </w:tcPr>
          <w:p w14:paraId="09446161">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Cs w:val="21"/>
                <w:highlight w:val="none"/>
                <w:lang w:val="en-US" w:eastAsia="zh-CN"/>
                <w:woUserID w:val="4"/>
              </w:rPr>
              <w:t>10±0.2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top"/>
          </w:tcPr>
          <w:p w14:paraId="6D6C756E">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Cs w:val="21"/>
                <w:highlight w:val="none"/>
                <w:lang w:val="en-US" w:eastAsia="zh-CN"/>
                <w:woUserID w:val="4"/>
              </w:rPr>
              <w:t>10～20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top"/>
          </w:tcPr>
          <w:p w14:paraId="4A6D5E13">
            <w:pPr>
              <w:keepNext w:val="0"/>
              <w:keepLines w:val="0"/>
              <w:widowControl/>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color w:val="auto"/>
                <w:kern w:val="2"/>
                <w:sz w:val="20"/>
                <w:szCs w:val="20"/>
                <w:highlight w:val="none"/>
                <w:shd w:val="clear" w:fill="FFFFFF"/>
                <w:lang w:val="en-US" w:eastAsia="zh" w:bidi="ar"/>
                <w:woUserID w:val="4"/>
              </w:rPr>
              <w:t>≥</w:t>
            </w:r>
            <w:r>
              <w:rPr>
                <w:rFonts w:hint="eastAsia" w:ascii="宋体" w:hAnsi="宋体" w:eastAsia="宋体" w:cs="宋体"/>
                <w:b w:val="0"/>
                <w:bCs/>
                <w:color w:val="auto"/>
                <w:szCs w:val="21"/>
                <w:highlight w:val="none"/>
                <w:lang w:val="en-US" w:eastAsia="zh-CN"/>
                <w:woUserID w:val="4"/>
              </w:rPr>
              <w:t>500</w:t>
            </w:r>
          </w:p>
        </w:tc>
      </w:tr>
    </w:tbl>
    <w:p w14:paraId="0B1C3E0F">
      <w:pPr>
        <w:widowControl/>
        <w:numPr>
          <w:ilvl w:val="-1"/>
          <w:numId w:val="0"/>
        </w:numPr>
        <w:kinsoku/>
        <w:overflowPunct/>
        <w:topLinePunct w:val="0"/>
        <w:bidi w:val="0"/>
        <w:adjustRightInd/>
        <w:snapToGrid/>
        <w:spacing w:before="0" w:beforeLines="-2147483648" w:after="0" w:afterLines="-2147483648" w:line="360" w:lineRule="auto"/>
        <w:jc w:val="center"/>
        <w:outlineLvl w:val="9"/>
        <w:rPr>
          <w:rFonts w:hint="eastAsia" w:ascii="宋体" w:hAnsi="宋体" w:eastAsia="宋体" w:cs="宋体"/>
          <w:b w:val="0"/>
          <w:bCs/>
          <w:color w:val="auto"/>
          <w:sz w:val="18"/>
          <w:szCs w:val="18"/>
          <w:highlight w:val="none"/>
          <w:lang w:val="en-US" w:eastAsia="zh"/>
          <w:woUserID w:val="4"/>
        </w:rPr>
      </w:pPr>
      <w:r>
        <w:rPr>
          <w:rFonts w:hint="eastAsia" w:ascii="宋体" w:hAnsi="宋体" w:eastAsia="宋体" w:cs="宋体"/>
          <w:b w:val="0"/>
          <w:bCs/>
          <w:color w:val="auto"/>
          <w:sz w:val="18"/>
          <w:szCs w:val="18"/>
          <w:highlight w:val="none"/>
          <w:lang w:val="en-US" w:eastAsia="zh-CN"/>
          <w:woUserID w:val="4"/>
        </w:rPr>
        <w:t>1-</w:t>
      </w:r>
      <w:r>
        <w:rPr>
          <w:rFonts w:hint="eastAsia" w:ascii="宋体" w:hAnsi="宋体" w:eastAsia="宋体" w:cs="宋体"/>
          <w:color w:val="auto"/>
          <w:kern w:val="2"/>
          <w:sz w:val="18"/>
          <w:szCs w:val="18"/>
          <w:highlight w:val="none"/>
          <w:shd w:val="clear" w:fill="FFFFFF"/>
          <w:lang w:val="en-US" w:eastAsia="zh-CN" w:bidi="ar"/>
          <w:woUserID w:val="4"/>
        </w:rPr>
        <w:t>铝箔胶带</w:t>
      </w:r>
      <w:r>
        <w:rPr>
          <w:rFonts w:hint="eastAsia" w:ascii="宋体" w:hAnsi="宋体" w:eastAsia="宋体" w:cs="宋体"/>
          <w:b w:val="0"/>
          <w:bCs/>
          <w:color w:val="auto"/>
          <w:sz w:val="18"/>
          <w:szCs w:val="18"/>
          <w:highlight w:val="none"/>
          <w:lang w:val="en-US" w:eastAsia="zh-CN"/>
          <w:woUserID w:val="4"/>
        </w:rPr>
        <w:t>；2-</w:t>
      </w:r>
      <w:r>
        <w:rPr>
          <w:rFonts w:hint="eastAsia" w:ascii="宋体" w:hAnsi="宋体" w:eastAsia="宋体" w:cs="宋体"/>
          <w:b w:val="0"/>
          <w:bCs/>
          <w:color w:val="auto"/>
          <w:sz w:val="18"/>
          <w:szCs w:val="18"/>
          <w:highlight w:val="none"/>
          <w:lang w:val="en-US" w:eastAsia="zh"/>
          <w:woUserID w:val="4"/>
        </w:rPr>
        <w:t>超高性能混凝土</w:t>
      </w:r>
      <w:r>
        <w:rPr>
          <w:rFonts w:hint="eastAsia" w:ascii="宋体" w:hAnsi="宋体" w:eastAsia="宋体" w:cs="宋体"/>
          <w:b w:val="0"/>
          <w:bCs/>
          <w:color w:val="auto"/>
          <w:sz w:val="18"/>
          <w:szCs w:val="18"/>
          <w:highlight w:val="none"/>
          <w:lang w:val="en-US" w:eastAsia="zh-CN"/>
          <w:woUserID w:val="4"/>
        </w:rPr>
        <w:t>试件；3-环氧树脂；4-平底盘；5-水；6-吸水面；7-支撑件</w:t>
      </w:r>
      <w:r>
        <w:rPr>
          <w:rFonts w:hint="eastAsia" w:ascii="宋体" w:hAnsi="宋体" w:eastAsia="宋体" w:cs="宋体"/>
          <w:b w:val="0"/>
          <w:bCs/>
          <w:color w:val="auto"/>
          <w:sz w:val="18"/>
          <w:szCs w:val="18"/>
          <w:highlight w:val="none"/>
          <w:lang w:val="en-US" w:eastAsia="zh"/>
          <w:woUserID w:val="4"/>
        </w:rPr>
        <w:t>；</w:t>
      </w:r>
      <w:r>
        <w:rPr>
          <w:rFonts w:hint="default" w:ascii="Calibri" w:hAnsi="Calibri" w:eastAsia="宋体" w:cs="Calibri"/>
          <w:color w:val="auto"/>
          <w:kern w:val="2"/>
          <w:sz w:val="18"/>
          <w:szCs w:val="18"/>
          <w:highlight w:val="none"/>
          <w:shd w:val="clear" w:fill="FFFFFF"/>
          <w:lang w:val="en-US" w:eastAsia="zh-CN" w:bidi="ar"/>
          <w:woUserID w:val="4"/>
        </w:rPr>
        <w:t>8——</w:t>
      </w:r>
      <w:r>
        <w:rPr>
          <w:rFonts w:hint="eastAsia" w:ascii="宋体" w:hAnsi="宋体" w:eastAsia="宋体" w:cs="宋体"/>
          <w:color w:val="auto"/>
          <w:kern w:val="2"/>
          <w:sz w:val="18"/>
          <w:szCs w:val="18"/>
          <w:highlight w:val="none"/>
          <w:shd w:val="clear" w:fill="FFFFFF"/>
          <w:lang w:val="en-US" w:eastAsia="zh-CN" w:bidi="ar"/>
          <w:woUserID w:val="4"/>
        </w:rPr>
        <w:t>溢流孔</w:t>
      </w:r>
    </w:p>
    <w:p w14:paraId="21716E33">
      <w:pPr>
        <w:widowControl w:val="0"/>
        <w:numPr>
          <w:ilvl w:val="-1"/>
          <w:numId w:val="0"/>
        </w:numPr>
        <w:kinsoku/>
        <w:overflowPunct/>
        <w:topLinePunct/>
        <w:bidi w:val="0"/>
        <w:adjustRightInd w:val="0"/>
        <w:snapToGrid w:val="0"/>
        <w:spacing w:before="0" w:beforeLines="-2147483648" w:after="0" w:afterLines="-2147483648" w:line="360" w:lineRule="auto"/>
        <w:jc w:val="center"/>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 w:val="18"/>
          <w:szCs w:val="18"/>
          <w:highlight w:val="none"/>
          <w:lang w:val="en-US" w:eastAsia="zh-CN"/>
          <w:woUserID w:val="4"/>
        </w:rPr>
        <w:t>图7.</w:t>
      </w:r>
      <w:r>
        <w:rPr>
          <w:rFonts w:hint="eastAsia" w:ascii="宋体" w:hAnsi="宋体" w:cs="宋体"/>
          <w:b w:val="0"/>
          <w:bCs/>
          <w:color w:val="auto"/>
          <w:sz w:val="18"/>
          <w:szCs w:val="18"/>
          <w:highlight w:val="none"/>
          <w:lang w:val="en-US" w:eastAsia="zh-CN"/>
          <w:woUserID w:val="4"/>
        </w:rPr>
        <w:t>7</w:t>
      </w:r>
      <w:r>
        <w:rPr>
          <w:rFonts w:hint="eastAsia" w:ascii="宋体" w:hAnsi="宋体" w:eastAsia="宋体" w:cs="宋体"/>
          <w:b w:val="0"/>
          <w:bCs/>
          <w:color w:val="auto"/>
          <w:sz w:val="18"/>
          <w:szCs w:val="18"/>
          <w:highlight w:val="none"/>
          <w:lang w:val="en-US" w:eastAsia="zh-CN"/>
          <w:woUserID w:val="4"/>
        </w:rPr>
        <w:t>.2    毛细吸水试验装置示意图</w:t>
      </w:r>
    </w:p>
    <w:p w14:paraId="3911A524">
      <w:pPr>
        <w:widowControl/>
        <w:numPr>
          <w:ilvl w:val="0"/>
          <w:numId w:val="17"/>
        </w:numPr>
        <w:kinsoku/>
        <w:overflowPunct/>
        <w:topLinePunct w:val="0"/>
        <w:bidi w:val="0"/>
        <w:adjustRightInd/>
        <w:snapToGrid/>
        <w:spacing w:before="0" w:beforeLines="-2147483648" w:beforeAutospacing="1" w:after="0" w:afterLines="-2147483648" w:afterAutospacing="1" w:line="360" w:lineRule="auto"/>
        <w:ind w:left="0" w:leftChars="0" w:firstLine="525" w:firstLineChars="250"/>
        <w:jc w:val="left"/>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环氧树脂在室温条件下的黏度宜为（1 ～10 ）Pa</w:t>
      </w:r>
      <w:r>
        <w:rPr>
          <w:rFonts w:ascii="Symbol" w:hAnsi="Symbol" w:eastAsia="宋体" w:cs="Symbol"/>
          <w:color w:val="auto"/>
          <w:kern w:val="2"/>
          <w:sz w:val="21"/>
          <w:szCs w:val="21"/>
          <w:highlight w:val="none"/>
          <w:shd w:val="clear" w:fill="FFFFFF"/>
          <w:lang w:val="en-US" w:eastAsia="zh-CN" w:bidi="ar"/>
          <w:woUserID w:val="4"/>
        </w:rPr>
        <w:t>×</w:t>
      </w:r>
      <w:r>
        <w:rPr>
          <w:rFonts w:hint="eastAsia" w:ascii="宋体" w:hAnsi="宋体" w:eastAsia="宋体" w:cs="宋体"/>
          <w:b w:val="0"/>
          <w:bCs w:val="0"/>
          <w:color w:val="auto"/>
          <w:szCs w:val="21"/>
          <w:highlight w:val="none"/>
          <w:shd w:val="clear" w:color="000000" w:fill="FFFFFF"/>
          <w:lang w:val="en-US" w:eastAsia="zh-CN"/>
          <w:woUserID w:val="0"/>
        </w:rPr>
        <w:t>s，凝胶时间宜为（2～4）h，固化时间宜为（12～24） h，软化点不应低于80 ℃。</w:t>
      </w:r>
    </w:p>
    <w:p w14:paraId="52402666">
      <w:pPr>
        <w:pStyle w:val="125"/>
        <w:widowControl w:val="0"/>
        <w:numPr>
          <w:ilvl w:val="0"/>
          <w:numId w:val="17"/>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变色硅胶应满足HG/T 2765.4的规定。</w:t>
      </w:r>
    </w:p>
    <w:p w14:paraId="52B904C8">
      <w:pPr>
        <w:pStyle w:val="125"/>
        <w:widowControl w:val="0"/>
        <w:numPr>
          <w:ilvl w:val="0"/>
          <w:numId w:val="17"/>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毛巾宜采用纯棉材质，且吸水性满足GB/T 22864优等品的要求。</w:t>
      </w:r>
    </w:p>
    <w:p w14:paraId="778EEC67">
      <w:pPr>
        <w:pStyle w:val="125"/>
        <w:widowControl w:val="0"/>
        <w:numPr>
          <w:ilvl w:val="0"/>
          <w:numId w:val="17"/>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美纹纸压敏胶粘带应满足HG/T 3949的规定，且宽度宜不小于</w:t>
      </w:r>
      <w:r>
        <w:rPr>
          <w:rFonts w:hint="eastAsia" w:ascii="宋体" w:hAnsi="宋体" w:eastAsia="宋体" w:cs="宋体"/>
          <w:b w:val="0"/>
          <w:bCs w:val="0"/>
          <w:color w:val="auto"/>
          <w:szCs w:val="21"/>
          <w:highlight w:val="none"/>
          <w:shd w:val="clear" w:color="000000" w:fill="FFFFFF"/>
          <w:lang w:val="en-US" w:eastAsia="zh"/>
          <w:woUserID w:val="0"/>
        </w:rPr>
        <w:t>超高性能混凝土</w:t>
      </w:r>
      <w:r>
        <w:rPr>
          <w:rFonts w:hint="eastAsia" w:ascii="宋体" w:hAnsi="宋体" w:eastAsia="宋体" w:cs="宋体"/>
          <w:b w:val="0"/>
          <w:bCs w:val="0"/>
          <w:color w:val="auto"/>
          <w:szCs w:val="21"/>
          <w:highlight w:val="none"/>
          <w:shd w:val="clear" w:color="000000" w:fill="FFFFFF"/>
          <w:lang w:val="en-US" w:eastAsia="zh-CN"/>
          <w:woUserID w:val="0"/>
        </w:rPr>
        <w:t>试件的宽度或直径。</w:t>
      </w:r>
    </w:p>
    <w:p w14:paraId="619C48D5">
      <w:pPr>
        <w:pStyle w:val="125"/>
        <w:widowControl w:val="0"/>
        <w:numPr>
          <w:ilvl w:val="0"/>
          <w:numId w:val="17"/>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val="0"/>
          <w:color w:val="auto"/>
          <w:szCs w:val="21"/>
          <w:highlight w:val="none"/>
          <w:shd w:val="clear" w:color="000000" w:fill="FFFFFF"/>
          <w:lang w:val="en-US" w:eastAsia="zh-CN"/>
          <w:woUserID w:val="0"/>
        </w:rPr>
        <w:t>铝箔胶带的厚度不应小于0.15 mm，且宽度宜比</w:t>
      </w:r>
      <w:r>
        <w:rPr>
          <w:rFonts w:hint="eastAsia" w:ascii="宋体" w:hAnsi="宋体" w:eastAsia="宋体" w:cs="宋体"/>
          <w:b w:val="0"/>
          <w:bCs w:val="0"/>
          <w:color w:val="auto"/>
          <w:szCs w:val="21"/>
          <w:highlight w:val="none"/>
          <w:shd w:val="clear" w:color="000000" w:fill="FFFFFF"/>
          <w:lang w:val="en-US" w:eastAsia="zh"/>
          <w:woUserID w:val="0"/>
        </w:rPr>
        <w:t>超高性能混凝土</w:t>
      </w:r>
      <w:r>
        <w:rPr>
          <w:rFonts w:hint="eastAsia" w:ascii="宋体" w:hAnsi="宋体" w:eastAsia="宋体" w:cs="宋体"/>
          <w:b w:val="0"/>
          <w:bCs w:val="0"/>
          <w:color w:val="auto"/>
          <w:szCs w:val="21"/>
          <w:highlight w:val="none"/>
          <w:shd w:val="clear" w:color="000000" w:fill="FFFFFF"/>
          <w:lang w:val="en-US" w:eastAsia="zh-CN"/>
          <w:woUserID w:val="0"/>
        </w:rPr>
        <w:t>试件的宽度或直径大（10～20）mm。</w:t>
      </w:r>
    </w:p>
    <w:p w14:paraId="68DD8FBF">
      <w:pPr>
        <w:widowControl w:val="0"/>
        <w:numPr>
          <w:ilvl w:val="-1"/>
          <w:numId w:val="0"/>
        </w:numPr>
        <w:kinsoku/>
        <w:overflowPunct/>
        <w:topLinePunct/>
        <w:bidi w:val="0"/>
        <w:adjustRightInd w:val="0"/>
        <w:snapToGrid w:val="0"/>
        <w:spacing w:before="0" w:beforeLines="-2147483648" w:after="0" w:afterLines="-2147483648" w:line="360" w:lineRule="auto"/>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bCs/>
          <w:color w:val="auto"/>
          <w:szCs w:val="21"/>
          <w:highlight w:val="none"/>
          <w:lang w:val="en-US" w:eastAsia="zh-CN"/>
          <w:woUserID w:val="4"/>
        </w:rPr>
        <w:t>7.</w:t>
      </w:r>
      <w:r>
        <w:rPr>
          <w:rFonts w:hint="eastAsia" w:ascii="宋体" w:hAnsi="宋体" w:cs="宋体"/>
          <w:b/>
          <w:bCs/>
          <w:color w:val="auto"/>
          <w:szCs w:val="21"/>
          <w:highlight w:val="none"/>
          <w:lang w:val="en-US" w:eastAsia="zh-CN"/>
          <w:woUserID w:val="4"/>
        </w:rPr>
        <w:t>7</w:t>
      </w:r>
      <w:r>
        <w:rPr>
          <w:rFonts w:hint="eastAsia" w:ascii="宋体" w:hAnsi="宋体" w:eastAsia="宋体" w:cs="宋体"/>
          <w:b/>
          <w:bCs/>
          <w:color w:val="auto"/>
          <w:szCs w:val="21"/>
          <w:highlight w:val="none"/>
          <w:lang w:val="en-US" w:eastAsia="zh-CN"/>
          <w:woUserID w:val="4"/>
        </w:rPr>
        <w:t xml:space="preserve">.3 </w:t>
      </w:r>
      <w:r>
        <w:rPr>
          <w:rFonts w:hint="eastAsia" w:ascii="宋体" w:hAnsi="宋体" w:eastAsia="宋体" w:cs="宋体"/>
          <w:b w:val="0"/>
          <w:bCs/>
          <w:color w:val="auto"/>
          <w:szCs w:val="21"/>
          <w:highlight w:val="none"/>
          <w:lang w:val="en-US" w:eastAsia="zh-CN"/>
          <w:woUserID w:val="4"/>
        </w:rPr>
        <w:t xml:space="preserve"> 试件制作应符合下列规定：</w:t>
      </w:r>
    </w:p>
    <w:p w14:paraId="3986FA31">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 xml:space="preserve">1  </w:t>
      </w:r>
      <w:r>
        <w:rPr>
          <w:rFonts w:hint="eastAsia" w:ascii="宋体" w:hAnsi="宋体" w:eastAsia="宋体" w:cs="宋体"/>
          <w:b w:val="0"/>
          <w:bCs/>
          <w:color w:val="auto"/>
          <w:szCs w:val="21"/>
          <w:highlight w:val="none"/>
          <w:lang w:val="en-US" w:eastAsia="zh"/>
          <w:woUserID w:val="0"/>
        </w:rPr>
        <w:t>超高性能混凝土</w:t>
      </w:r>
      <w:r>
        <w:rPr>
          <w:rFonts w:hint="eastAsia" w:ascii="宋体" w:hAnsi="宋体" w:eastAsia="宋体" w:cs="宋体"/>
          <w:b w:val="0"/>
          <w:bCs/>
          <w:color w:val="auto"/>
          <w:szCs w:val="21"/>
          <w:highlight w:val="none"/>
          <w:lang w:val="en-US" w:eastAsia="zh-CN"/>
          <w:woUserID w:val="0"/>
        </w:rPr>
        <w:t>试件可采用浇筑成型法或钻芯法制作，每组包含3个试件。钻芯法适用于从</w:t>
      </w:r>
      <w:r>
        <w:rPr>
          <w:rFonts w:hint="eastAsia" w:ascii="宋体" w:hAnsi="宋体" w:eastAsia="宋体" w:cs="宋体"/>
          <w:b w:val="0"/>
          <w:bCs/>
          <w:color w:val="auto"/>
          <w:szCs w:val="21"/>
          <w:highlight w:val="none"/>
          <w:lang w:val="en-US" w:eastAsia="zh"/>
          <w:woUserID w:val="0"/>
        </w:rPr>
        <w:t>超高性能混凝土</w:t>
      </w:r>
      <w:r>
        <w:rPr>
          <w:rFonts w:hint="eastAsia" w:ascii="宋体" w:hAnsi="宋体" w:eastAsia="宋体" w:cs="宋体"/>
          <w:b w:val="0"/>
          <w:bCs/>
          <w:color w:val="auto"/>
          <w:szCs w:val="21"/>
          <w:highlight w:val="none"/>
          <w:lang w:val="en-US" w:eastAsia="zh-CN"/>
          <w:woUserID w:val="0"/>
        </w:rPr>
        <w:t>结构或构件中取样制作试件。</w:t>
      </w:r>
    </w:p>
    <w:p w14:paraId="177C681F">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2  采用浇筑成型法制作试件时，应按下列要求进行：</w:t>
      </w:r>
    </w:p>
    <w:p w14:paraId="3B8160EC">
      <w:pPr>
        <w:pStyle w:val="125"/>
        <w:widowControl w:val="0"/>
        <w:numPr>
          <w:ilvl w:val="0"/>
          <w:numId w:val="18"/>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Cs w:val="21"/>
          <w:highlight w:val="none"/>
          <w:lang w:val="en-US" w:eastAsia="zh-CN"/>
          <w:woUserID w:val="0"/>
        </w:rPr>
        <w:t>将</w:t>
      </w:r>
      <w:r>
        <w:rPr>
          <w:rFonts w:hint="eastAsia" w:ascii="宋体" w:hAnsi="宋体" w:eastAsia="宋体" w:cs="宋体"/>
          <w:b w:val="0"/>
          <w:bCs/>
          <w:color w:val="auto"/>
          <w:szCs w:val="21"/>
          <w:highlight w:val="none"/>
          <w:lang w:val="en-US" w:eastAsia="zh"/>
          <w:woUserID w:val="0"/>
        </w:rPr>
        <w:t>超高性能混凝土</w:t>
      </w:r>
      <w:r>
        <w:rPr>
          <w:rFonts w:hint="eastAsia" w:ascii="宋体" w:hAnsi="宋体" w:eastAsia="宋体" w:cs="宋体"/>
          <w:b w:val="0"/>
          <w:bCs/>
          <w:color w:val="auto"/>
          <w:szCs w:val="21"/>
          <w:highlight w:val="none"/>
          <w:lang w:val="en-US" w:eastAsia="zh-CN"/>
          <w:woUserID w:val="0"/>
        </w:rPr>
        <w:t>拌合均匀后，浇筑在截面尺寸为100 mm×100 mm×100 mm的立方体试模中，充分振捣、抹平、覆膜后常温养护，24 h后拆模并立即放入标准养护室养护或进行热养护。标准养护试件的龄期宜为28 d，热养护的超高性能混凝土应在标准蒸汽养护结束后放置于实验室环境中至7d龄期。也可根据要求采用其他龄期</w:t>
      </w:r>
      <w:r>
        <w:rPr>
          <w:rFonts w:hint="eastAsia" w:ascii="宋体" w:hAnsi="宋体" w:eastAsia="宋体" w:cs="宋体"/>
          <w:b w:val="0"/>
          <w:bCs/>
          <w:color w:val="auto"/>
          <w:szCs w:val="21"/>
          <w:highlight w:val="none"/>
          <w:lang w:val="en-US" w:eastAsia="zh-CN"/>
          <w:woUserID w:val="4"/>
        </w:rPr>
        <w:t>；</w:t>
      </w:r>
    </w:p>
    <w:p w14:paraId="397FC9FD">
      <w:pPr>
        <w:pStyle w:val="125"/>
        <w:widowControl w:val="0"/>
        <w:numPr>
          <w:ilvl w:val="0"/>
          <w:numId w:val="18"/>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应在达到预定龄期前7 d进行试件切割。用切锯机沿与立方体成型面垂直方向，避开端部至少10 mm，从中部切取高度为（50±2）mm的棱柱体试件，试件应无缺棱掉角和裂缝等明显缺陷；</w:t>
      </w:r>
    </w:p>
    <w:p w14:paraId="72DA026D">
      <w:pPr>
        <w:pStyle w:val="125"/>
        <w:widowControl w:val="0"/>
        <w:numPr>
          <w:ilvl w:val="0"/>
          <w:numId w:val="18"/>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选取任一锯切面作为吸水面，利用耐水砂纸打磨平整并清理干净,吸水面的不平整度不应大于0.2 mm，吸水面与轴线的不垂直度不应超过1°；</w:t>
      </w:r>
    </w:p>
    <w:p w14:paraId="0B28E34C">
      <w:pPr>
        <w:pStyle w:val="125"/>
        <w:widowControl w:val="0"/>
        <w:numPr>
          <w:ilvl w:val="0"/>
          <w:numId w:val="18"/>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val="0"/>
          <w:color w:val="auto"/>
          <w:szCs w:val="21"/>
          <w:highlight w:val="none"/>
          <w:shd w:val="clear" w:color="000000" w:fill="FFFFFF"/>
          <w:lang w:val="en-US" w:eastAsia="zh-CN"/>
          <w:woUserID w:val="0"/>
        </w:rPr>
        <w:t>锯切打磨后的试件应继续标准养护至规定龄期</w:t>
      </w:r>
      <w:r>
        <w:rPr>
          <w:rFonts w:hint="eastAsia" w:ascii="宋体" w:hAnsi="宋体" w:eastAsia="宋体" w:cs="宋体"/>
          <w:b w:val="0"/>
          <w:bCs/>
          <w:color w:val="auto"/>
          <w:szCs w:val="21"/>
          <w:highlight w:val="none"/>
          <w:lang w:val="en-US" w:eastAsia="zh-CN"/>
          <w:woUserID w:val="4"/>
        </w:rPr>
        <w:t>；</w:t>
      </w:r>
    </w:p>
    <w:p w14:paraId="2E5543DF">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Cs w:val="21"/>
          <w:highlight w:val="none"/>
          <w:lang w:val="en-US" w:eastAsia="zh-CN"/>
          <w:woUserID w:val="4"/>
        </w:rPr>
        <w:t>3  采用钻芯法制作试件时，应按下列要求进行：</w:t>
      </w:r>
    </w:p>
    <w:p w14:paraId="664FE528">
      <w:pPr>
        <w:pStyle w:val="125"/>
        <w:widowControl w:val="0"/>
        <w:numPr>
          <w:ilvl w:val="0"/>
          <w:numId w:val="19"/>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参照JGJ/T 384的相关规定，在</w:t>
      </w:r>
      <w:r>
        <w:rPr>
          <w:rFonts w:hint="eastAsia" w:ascii="宋体" w:hAnsi="宋体" w:eastAsia="宋体" w:cs="宋体"/>
          <w:b w:val="0"/>
          <w:bCs w:val="0"/>
          <w:color w:val="auto"/>
          <w:szCs w:val="21"/>
          <w:highlight w:val="none"/>
          <w:shd w:val="clear" w:color="000000" w:fill="FFFFFF"/>
          <w:lang w:val="en-US" w:eastAsia="zh"/>
          <w:woUserID w:val="0"/>
        </w:rPr>
        <w:t>超高性能混凝土</w:t>
      </w:r>
      <w:r>
        <w:rPr>
          <w:rFonts w:hint="eastAsia" w:ascii="宋体" w:hAnsi="宋体" w:eastAsia="宋体" w:cs="宋体"/>
          <w:b w:val="0"/>
          <w:bCs w:val="0"/>
          <w:color w:val="auto"/>
          <w:szCs w:val="21"/>
          <w:highlight w:val="none"/>
          <w:shd w:val="clear" w:color="000000" w:fill="FFFFFF"/>
          <w:lang w:val="en-US" w:eastAsia="zh-CN"/>
          <w:woUserID w:val="0"/>
        </w:rPr>
        <w:t>结构或构件暴露面不同部位钻取直径为（100±1）mm的芯样；</w:t>
      </w:r>
    </w:p>
    <w:p w14:paraId="0CBD89BC">
      <w:pPr>
        <w:pStyle w:val="125"/>
        <w:widowControl w:val="0"/>
        <w:numPr>
          <w:ilvl w:val="0"/>
          <w:numId w:val="19"/>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保留芯样的暴露面，将芯样锯切成高度为（50±2）mm的圆柱体试件，试件应不含钢筋或其他筋材，且无缺棱掉角、裂缝和马蹄形等明显缺陷；</w:t>
      </w:r>
    </w:p>
    <w:p w14:paraId="2BFCC2F6">
      <w:pPr>
        <w:pStyle w:val="125"/>
        <w:widowControl w:val="0"/>
        <w:numPr>
          <w:ilvl w:val="0"/>
          <w:numId w:val="19"/>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选取暴露面作为吸水面，必要时用耐水砂纸打磨平整并清理干净，吸水面的不平整度不应大于0.2 mm；</w:t>
      </w:r>
    </w:p>
    <w:p w14:paraId="784F3EE2">
      <w:pPr>
        <w:pStyle w:val="125"/>
        <w:widowControl w:val="0"/>
        <w:numPr>
          <w:ilvl w:val="0"/>
          <w:numId w:val="19"/>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val="0"/>
          <w:color w:val="auto"/>
          <w:szCs w:val="21"/>
          <w:highlight w:val="none"/>
          <w:shd w:val="clear" w:color="000000" w:fill="FFFFFF"/>
          <w:lang w:val="en-US" w:eastAsia="zh-CN"/>
          <w:woUserID w:val="0"/>
        </w:rPr>
        <w:t>圆柱体试件吸水面与轴线的不垂直度不应超过1</w:t>
      </w:r>
      <w:r>
        <w:rPr>
          <w:rFonts w:hint="eastAsia" w:ascii="宋体" w:hAnsi="宋体" w:eastAsia="宋体" w:cs="宋体"/>
          <w:b w:val="0"/>
          <w:bCs w:val="0"/>
          <w:color w:val="auto"/>
          <w:szCs w:val="21"/>
          <w:highlight w:val="none"/>
          <w:shd w:val="clear" w:color="000000" w:fill="FFFFFF"/>
          <w:lang w:val="en-US" w:eastAsia="zh-CN"/>
          <w:woUserID w:val="4"/>
        </w:rPr>
        <w:t>°</w:t>
      </w:r>
      <w:r>
        <w:rPr>
          <w:rFonts w:hint="eastAsia" w:ascii="宋体" w:hAnsi="宋体" w:eastAsia="宋体" w:cs="宋体"/>
          <w:b w:val="0"/>
          <w:bCs w:val="0"/>
          <w:color w:val="auto"/>
          <w:szCs w:val="21"/>
          <w:highlight w:val="none"/>
          <w:shd w:val="clear" w:color="000000" w:fill="FFFFFF"/>
          <w:lang w:val="en-US" w:eastAsia="zh-CN"/>
          <w:woUserID w:val="0"/>
        </w:rPr>
        <w:t>，沿试件高度方向的任一直径与平均直径的偏差不应超过1.5 mm</w:t>
      </w:r>
      <w:r>
        <w:rPr>
          <w:rFonts w:hint="eastAsia" w:ascii="宋体" w:hAnsi="宋体" w:eastAsia="宋体" w:cs="宋体"/>
          <w:b w:val="0"/>
          <w:bCs/>
          <w:color w:val="auto"/>
          <w:szCs w:val="21"/>
          <w:highlight w:val="none"/>
          <w:lang w:val="en-US" w:eastAsia="zh-CN"/>
          <w:woUserID w:val="4"/>
        </w:rPr>
        <w:t>；</w:t>
      </w:r>
    </w:p>
    <w:p w14:paraId="3D1C2AC3">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Cs w:val="21"/>
          <w:highlight w:val="none"/>
          <w:lang w:val="en-US" w:eastAsia="zh-CN"/>
          <w:woUserID w:val="4"/>
        </w:rPr>
        <w:t>4  试件吸水面的平整度、吸水面与轴线的垂直度、圆柱体试件沿高度方向的直径偏差应参照JGJ/T 384的相关规定进行检测；检测不合格时，可对试件进行适当磨平处理，若处理后仍不满足要求，应重新制作试件。</w:t>
      </w:r>
    </w:p>
    <w:p w14:paraId="2525183F">
      <w:pPr>
        <w:widowControl w:val="0"/>
        <w:numPr>
          <w:ilvl w:val="-1"/>
          <w:numId w:val="0"/>
        </w:numPr>
        <w:kinsoku/>
        <w:overflowPunct/>
        <w:topLinePunct/>
        <w:bidi w:val="0"/>
        <w:adjustRightInd w:val="0"/>
        <w:snapToGrid w:val="0"/>
        <w:spacing w:before="0" w:beforeLines="-2147483648" w:after="0" w:afterLines="-2147483648" w:line="360" w:lineRule="auto"/>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bCs/>
          <w:color w:val="auto"/>
          <w:szCs w:val="21"/>
          <w:highlight w:val="none"/>
          <w:lang w:val="en-US" w:eastAsia="zh-CN"/>
          <w:woUserID w:val="0"/>
        </w:rPr>
        <w:t>7.</w:t>
      </w:r>
      <w:r>
        <w:rPr>
          <w:rFonts w:hint="eastAsia" w:ascii="宋体" w:hAnsi="宋体" w:cs="宋体"/>
          <w:b/>
          <w:bCs/>
          <w:color w:val="auto"/>
          <w:szCs w:val="21"/>
          <w:highlight w:val="none"/>
          <w:lang w:val="en-US" w:eastAsia="zh-CN"/>
          <w:woUserID w:val="0"/>
        </w:rPr>
        <w:t>7</w:t>
      </w:r>
      <w:r>
        <w:rPr>
          <w:rFonts w:hint="eastAsia" w:ascii="宋体" w:hAnsi="宋体" w:eastAsia="宋体" w:cs="宋体"/>
          <w:b/>
          <w:bCs/>
          <w:color w:val="auto"/>
          <w:szCs w:val="21"/>
          <w:highlight w:val="none"/>
          <w:lang w:val="en-US" w:eastAsia="zh-CN"/>
          <w:woUserID w:val="4"/>
        </w:rPr>
        <w:t>.</w:t>
      </w:r>
      <w:r>
        <w:rPr>
          <w:rFonts w:hint="eastAsia" w:ascii="宋体" w:hAnsi="宋体" w:cs="宋体"/>
          <w:b/>
          <w:bCs/>
          <w:color w:val="auto"/>
          <w:szCs w:val="21"/>
          <w:highlight w:val="none"/>
          <w:lang w:val="en-US" w:eastAsia="zh-CN"/>
          <w:woUserID w:val="4"/>
        </w:rPr>
        <w:t>4</w:t>
      </w:r>
      <w:r>
        <w:rPr>
          <w:rFonts w:hint="eastAsia" w:ascii="宋体" w:hAnsi="宋体" w:eastAsia="宋体" w:cs="宋体"/>
          <w:b w:val="0"/>
          <w:bCs/>
          <w:color w:val="auto"/>
          <w:szCs w:val="21"/>
          <w:highlight w:val="none"/>
          <w:lang w:val="en-US" w:eastAsia="zh-CN"/>
          <w:woUserID w:val="4"/>
        </w:rPr>
        <w:t xml:space="preserve">  试件侧面密封应符合下列规定：</w:t>
      </w:r>
    </w:p>
    <w:p w14:paraId="16C73047">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1  用卡尺间隔测量棱柱体试件吸水面的长度和宽度，或间隔测量圆柱体试件吸水面的直径，测量方法见图7.6.3，取3次测量结果的算术平均值作为吸水面的代表性长度、宽度或直径，精确至0.1 mm；利用代表性尺寸计算试件吸水面的面积A，精确至0.1 mm</w:t>
      </w:r>
      <w:r>
        <w:rPr>
          <w:rFonts w:hint="eastAsia" w:ascii="宋体" w:hAnsi="宋体" w:eastAsia="宋体" w:cs="宋体"/>
          <w:b w:val="0"/>
          <w:bCs/>
          <w:color w:val="auto"/>
          <w:szCs w:val="21"/>
          <w:highlight w:val="none"/>
          <w:vertAlign w:val="superscript"/>
          <w:lang w:val="en-US" w:eastAsia="zh-CN"/>
          <w:woUserID w:val="0"/>
        </w:rPr>
        <w:t>2</w:t>
      </w:r>
      <w:r>
        <w:rPr>
          <w:rFonts w:hint="eastAsia" w:ascii="宋体" w:hAnsi="宋体" w:eastAsia="宋体" w:cs="宋体"/>
          <w:b w:val="0"/>
          <w:bCs/>
          <w:color w:val="auto"/>
          <w:szCs w:val="21"/>
          <w:highlight w:val="none"/>
          <w:lang w:val="en-US" w:eastAsia="zh-CN"/>
          <w:woUserID w:val="0"/>
        </w:rPr>
        <w:t>。</w:t>
      </w:r>
    </w:p>
    <w:p w14:paraId="3FCF552B">
      <w:pPr>
        <w:pStyle w:val="35"/>
        <w:keepNext w:val="0"/>
        <w:keepLines w:val="0"/>
        <w:widowControl w:val="0"/>
        <w:suppressLineNumbers w:val="0"/>
        <w:kinsoku/>
        <w:overflowPunct/>
        <w:bidi w:val="0"/>
        <w:spacing w:before="0" w:beforeLines="0" w:beforeAutospacing="0" w:after="0" w:afterLines="0" w:afterAutospacing="0" w:line="360" w:lineRule="auto"/>
        <w:ind w:left="283" w:right="0"/>
        <w:jc w:val="both"/>
        <w:outlineLvl w:val="9"/>
        <w:rPr>
          <w:rFonts w:hint="eastAsia" w:ascii="宋体" w:hAnsi="Times New Roman" w:eastAsia="宋体" w:cs="Times New Roman"/>
          <w:color w:val="auto"/>
          <w:sz w:val="21"/>
          <w:szCs w:val="21"/>
          <w:highlight w:val="none"/>
          <w:shd w:val="clear" w:fill="FFFFFF"/>
          <w:lang w:eastAsia="zh"/>
          <w:woUserID w:val="4"/>
        </w:rPr>
      </w:pPr>
      <w:r>
        <w:rPr>
          <w:rFonts w:hint="eastAsia" w:ascii="宋体" w:hAnsi="宋体" w:eastAsia="宋体" w:cs="宋体"/>
          <w:b w:val="0"/>
          <w:bCs/>
          <w:color w:val="auto"/>
          <w:szCs w:val="21"/>
          <w:highlight w:val="none"/>
          <w:lang w:val="en-US" w:eastAsia="zh-CN"/>
          <w:woUserID w:val="4"/>
        </w:rPr>
        <w:t xml:space="preserve">         </w:t>
      </w:r>
      <w:r>
        <w:rPr>
          <w:rFonts w:hint="eastAsia" w:ascii="宋体" w:hAnsi="Times New Roman" w:eastAsia="宋体" w:cs="Times New Roman"/>
          <w:color w:val="auto"/>
          <w:kern w:val="0"/>
          <w:sz w:val="21"/>
          <w:szCs w:val="21"/>
          <w:highlight w:val="none"/>
          <w:shd w:val="clear" w:fill="FFFFFF"/>
          <w:lang w:val="en-US" w:eastAsia="zh-CN" w:bidi="ar"/>
          <w:woUserID w:val="4"/>
        </w:rPr>
        <w:t xml:space="preserve">      </w:t>
      </w:r>
      <w:r>
        <w:rPr>
          <w:rFonts w:hint="eastAsia" w:ascii="宋体" w:hAnsi="Times New Roman" w:eastAsia="宋体" w:cs="Times New Roman"/>
          <w:color w:val="auto"/>
          <w:kern w:val="0"/>
          <w:sz w:val="21"/>
          <w:szCs w:val="21"/>
          <w:highlight w:val="none"/>
          <w:shd w:val="clear" w:fill="FFFFFF"/>
          <w:lang w:val="en-US" w:eastAsia="zh-CN" w:bidi="ar"/>
          <w:woUserID w:val="4"/>
        </w:rPr>
        <w:drawing>
          <wp:inline distT="0" distB="0" distL="114300" distR="114300">
            <wp:extent cx="1933575" cy="1371600"/>
            <wp:effectExtent l="0" t="0" r="9525"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r:embed="rId282"/>
                    <a:stretch>
                      <a:fillRect/>
                    </a:stretch>
                  </pic:blipFill>
                  <pic:spPr>
                    <a:xfrm>
                      <a:off x="0" y="0"/>
                      <a:ext cx="1933575" cy="1371600"/>
                    </a:xfrm>
                    <a:prstGeom prst="rect">
                      <a:avLst/>
                    </a:prstGeom>
                  </pic:spPr>
                </pic:pic>
              </a:graphicData>
            </a:graphic>
          </wp:inline>
        </w:drawing>
      </w:r>
      <w:r>
        <w:rPr>
          <w:rFonts w:hint="eastAsia" w:ascii="宋体" w:hAnsi="Times New Roman" w:eastAsia="宋体" w:cs="Times New Roman"/>
          <w:color w:val="auto"/>
          <w:kern w:val="0"/>
          <w:sz w:val="21"/>
          <w:szCs w:val="21"/>
          <w:highlight w:val="none"/>
          <w:shd w:val="clear" w:fill="FFFFFF"/>
          <w:lang w:val="en-US" w:eastAsia="zh-CN" w:bidi="ar"/>
          <w:woUserID w:val="4"/>
        </w:rPr>
        <w:t xml:space="preserve"> </w:t>
      </w:r>
      <w:r>
        <w:rPr>
          <w:rFonts w:hint="eastAsia" w:ascii="宋体" w:hAnsi="Times New Roman" w:eastAsia="宋体" w:cs="Times New Roman"/>
          <w:color w:val="auto"/>
          <w:kern w:val="0"/>
          <w:sz w:val="21"/>
          <w:szCs w:val="21"/>
          <w:highlight w:val="none"/>
          <w:shd w:val="clear" w:fill="FFFFFF"/>
          <w:lang w:val="en-US" w:eastAsia="zh" w:bidi="ar"/>
          <w:woUserID w:val="4"/>
        </w:rPr>
        <w:t xml:space="preserve"> </w:t>
      </w:r>
      <w:r>
        <w:rPr>
          <w:rFonts w:hint="eastAsia" w:ascii="宋体" w:hAnsi="Times New Roman" w:eastAsia="宋体" w:cs="Times New Roman"/>
          <w:color w:val="auto"/>
          <w:sz w:val="21"/>
          <w:szCs w:val="21"/>
          <w:highlight w:val="none"/>
          <w:shd w:val="clear" w:fill="FFFFFF"/>
          <w:lang w:eastAsia="zh"/>
          <w:woUserID w:val="4"/>
        </w:rPr>
        <w:drawing>
          <wp:inline distT="0" distB="0" distL="114300" distR="114300">
            <wp:extent cx="1695450" cy="1371600"/>
            <wp:effectExtent l="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pic:cNvPicPr>
                  </pic:nvPicPr>
                  <pic:blipFill>
                    <a:blip r:embed="rId283"/>
                    <a:stretch>
                      <a:fillRect/>
                    </a:stretch>
                  </pic:blipFill>
                  <pic:spPr>
                    <a:xfrm>
                      <a:off x="0" y="0"/>
                      <a:ext cx="1695450" cy="1371600"/>
                    </a:xfrm>
                    <a:prstGeom prst="rect">
                      <a:avLst/>
                    </a:prstGeom>
                  </pic:spPr>
                </pic:pic>
              </a:graphicData>
            </a:graphic>
          </wp:inline>
        </w:drawing>
      </w:r>
    </w:p>
    <w:p w14:paraId="33DE96C8">
      <w:pPr>
        <w:widowControl w:val="0"/>
        <w:numPr>
          <w:ilvl w:val="-1"/>
          <w:numId w:val="0"/>
        </w:numPr>
        <w:kinsoku/>
        <w:overflowPunct/>
        <w:topLinePunct/>
        <w:bidi w:val="0"/>
        <w:adjustRightInd w:val="0"/>
        <w:snapToGrid w:val="0"/>
        <w:spacing w:before="0" w:beforeLines="-2147483648" w:after="0" w:afterLines="-2147483648" w:line="360" w:lineRule="auto"/>
        <w:outlineLvl w:val="9"/>
        <w:rPr>
          <w:rFonts w:hint="eastAsia" w:ascii="宋体" w:hAnsi="宋体" w:eastAsia="宋体" w:cs="宋体"/>
          <w:b w:val="0"/>
          <w:bCs/>
          <w:color w:val="auto"/>
          <w:szCs w:val="21"/>
          <w:highlight w:val="none"/>
          <w:lang w:val="en-US" w:eastAsia="zh-CN"/>
          <w:woUserID w:val="4"/>
        </w:rPr>
      </w:pPr>
    </w:p>
    <w:p w14:paraId="026A3559">
      <w:pPr>
        <w:widowControl w:val="0"/>
        <w:numPr>
          <w:ilvl w:val="-1"/>
          <w:numId w:val="0"/>
        </w:numPr>
        <w:kinsoku/>
        <w:overflowPunct/>
        <w:topLinePunct/>
        <w:bidi w:val="0"/>
        <w:adjustRightInd w:val="0"/>
        <w:snapToGrid w:val="0"/>
        <w:spacing w:before="0" w:beforeLines="-2147483648" w:after="0" w:afterLines="-2147483648" w:line="360" w:lineRule="auto"/>
        <w:jc w:val="center"/>
        <w:outlineLvl w:val="9"/>
        <w:rPr>
          <w:rFonts w:hint="eastAsia" w:ascii="宋体" w:hAnsi="宋体" w:eastAsia="宋体" w:cs="宋体"/>
          <w:b w:val="0"/>
          <w:bCs/>
          <w:color w:val="auto"/>
          <w:sz w:val="18"/>
          <w:szCs w:val="18"/>
          <w:highlight w:val="none"/>
          <w:lang w:val="en-US" w:eastAsia="zh-CN"/>
          <w:woUserID w:val="4"/>
        </w:rPr>
      </w:pPr>
      <w:r>
        <w:rPr>
          <w:rFonts w:hint="eastAsia" w:ascii="宋体" w:hAnsi="宋体" w:eastAsia="宋体" w:cs="宋体"/>
          <w:b w:val="0"/>
          <w:bCs/>
          <w:color w:val="auto"/>
          <w:sz w:val="18"/>
          <w:szCs w:val="18"/>
          <w:highlight w:val="none"/>
          <w:lang w:val="en-US" w:eastAsia="zh-CN"/>
          <w:woUserID w:val="4"/>
        </w:rPr>
        <w:t>a） 棱柱体试件                              b）圆柱体试件</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34"/>
        <w:gridCol w:w="803"/>
        <w:gridCol w:w="821"/>
        <w:gridCol w:w="851"/>
        <w:gridCol w:w="851"/>
        <w:gridCol w:w="851"/>
        <w:gridCol w:w="851"/>
        <w:gridCol w:w="1134"/>
        <w:gridCol w:w="851"/>
        <w:gridCol w:w="851"/>
      </w:tblGrid>
      <w:tr w14:paraId="1224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auto"/>
            <w:vAlign w:val="top"/>
          </w:tcPr>
          <w:p w14:paraId="4511EBFA">
            <w:pPr>
              <w:keepNext w:val="0"/>
              <w:keepLines w:val="0"/>
              <w:widowControl/>
              <w:numPr>
                <w:ilvl w:val="-1"/>
                <w:numId w:val="0"/>
              </w:numPr>
              <w:suppressLineNumbers w:val="0"/>
              <w:kinsoku/>
              <w:overflowPunct/>
              <w:topLinePunct w:val="0"/>
              <w:bidi w:val="0"/>
              <w:adjustRightInd/>
              <w:snapToGrid/>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1</w:t>
            </w:r>
          </w:p>
        </w:tc>
        <w:tc>
          <w:tcPr>
            <w:tcW w:w="803" w:type="dxa"/>
            <w:tcBorders>
              <w:top w:val="single" w:color="auto" w:sz="4" w:space="0"/>
              <w:left w:val="single" w:color="auto" w:sz="4" w:space="0"/>
              <w:bottom w:val="single" w:color="auto" w:sz="4" w:space="0"/>
              <w:right w:val="single" w:color="auto" w:sz="4" w:space="0"/>
            </w:tcBorders>
            <w:shd w:val="clear" w:color="auto" w:fill="auto"/>
            <w:vAlign w:val="top"/>
          </w:tcPr>
          <w:p w14:paraId="2D97D234">
            <w:pPr>
              <w:keepNext w:val="0"/>
              <w:keepLines w:val="0"/>
              <w:widowControl/>
              <w:numPr>
                <w:ilvl w:val="-1"/>
                <w:numId w:val="0"/>
              </w:numPr>
              <w:suppressLineNumbers w:val="0"/>
              <w:kinsoku/>
              <w:overflowPunct/>
              <w:topLinePunct w:val="0"/>
              <w:bidi w:val="0"/>
              <w:adjustRightInd/>
              <w:snapToGrid/>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2</w:t>
            </w:r>
          </w:p>
        </w:tc>
        <w:tc>
          <w:tcPr>
            <w:tcW w:w="821" w:type="dxa"/>
            <w:tcBorders>
              <w:top w:val="single" w:color="auto" w:sz="4" w:space="0"/>
              <w:left w:val="single" w:color="auto" w:sz="4" w:space="0"/>
              <w:bottom w:val="single" w:color="auto" w:sz="4" w:space="0"/>
              <w:right w:val="single" w:color="auto" w:sz="4" w:space="0"/>
            </w:tcBorders>
            <w:shd w:val="clear" w:color="auto" w:fill="auto"/>
            <w:vAlign w:val="top"/>
          </w:tcPr>
          <w:p w14:paraId="5AB4B4A7">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3</w:t>
            </w:r>
          </w:p>
        </w:tc>
        <w:tc>
          <w:tcPr>
            <w:tcW w:w="851" w:type="dxa"/>
            <w:tcBorders>
              <w:top w:val="single" w:color="auto" w:sz="4" w:space="0"/>
              <w:left w:val="single" w:color="auto" w:sz="4" w:space="0"/>
              <w:bottom w:val="single" w:color="auto" w:sz="4" w:space="0"/>
              <w:right w:val="single" w:color="auto" w:sz="4" w:space="0"/>
            </w:tcBorders>
            <w:shd w:val="clear" w:color="auto" w:fill="auto"/>
            <w:vAlign w:val="top"/>
          </w:tcPr>
          <w:p w14:paraId="3B24E45C">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4</w:t>
            </w:r>
          </w:p>
        </w:tc>
        <w:tc>
          <w:tcPr>
            <w:tcW w:w="851" w:type="dxa"/>
            <w:tcBorders>
              <w:top w:val="single" w:color="auto" w:sz="4" w:space="0"/>
              <w:left w:val="single" w:color="auto" w:sz="4" w:space="0"/>
              <w:bottom w:val="single" w:color="auto" w:sz="4" w:space="0"/>
              <w:right w:val="single" w:color="auto" w:sz="4" w:space="0"/>
            </w:tcBorders>
            <w:shd w:val="clear" w:color="auto" w:fill="auto"/>
            <w:vAlign w:val="top"/>
          </w:tcPr>
          <w:p w14:paraId="766C54CD">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5</w:t>
            </w:r>
          </w:p>
        </w:tc>
        <w:tc>
          <w:tcPr>
            <w:tcW w:w="851" w:type="dxa"/>
            <w:tcBorders>
              <w:top w:val="single" w:color="auto" w:sz="4" w:space="0"/>
              <w:left w:val="single" w:color="auto" w:sz="4" w:space="0"/>
              <w:bottom w:val="single" w:color="auto" w:sz="4" w:space="0"/>
              <w:right w:val="single" w:color="auto" w:sz="4" w:space="0"/>
            </w:tcBorders>
            <w:shd w:val="clear" w:color="auto" w:fill="auto"/>
            <w:vAlign w:val="top"/>
          </w:tcPr>
          <w:p w14:paraId="4580672E">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6</w:t>
            </w:r>
          </w:p>
        </w:tc>
        <w:tc>
          <w:tcPr>
            <w:tcW w:w="851" w:type="dxa"/>
            <w:tcBorders>
              <w:top w:val="single" w:color="auto" w:sz="4" w:space="0"/>
              <w:left w:val="single" w:color="auto" w:sz="4" w:space="0"/>
              <w:bottom w:val="single" w:color="auto" w:sz="4" w:space="0"/>
              <w:right w:val="single" w:color="auto" w:sz="4" w:space="0"/>
            </w:tcBorders>
            <w:shd w:val="clear" w:color="auto" w:fill="auto"/>
            <w:vAlign w:val="top"/>
          </w:tcPr>
          <w:p w14:paraId="66F0A719">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7</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top"/>
          </w:tcPr>
          <w:p w14:paraId="300FD7B4">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Times New Roman" w:hAnsi="Times New Roman" w:eastAsia="黑体" w:cs="Times New Roman"/>
                <w:i/>
                <w:iCs w:val="0"/>
                <w:color w:val="auto"/>
                <w:kern w:val="2"/>
                <w:sz w:val="21"/>
                <w:szCs w:val="21"/>
                <w:highlight w:val="none"/>
                <w:shd w:val="clear" w:fill="FFFFFF"/>
                <w:lang w:val="en-US" w:eastAsia="zh-CN" w:bidi="ar"/>
                <w:woUserID w:val="4"/>
              </w:rPr>
              <w:t>l</w:t>
            </w:r>
            <w:r>
              <w:rPr>
                <w:rFonts w:hint="eastAsia" w:ascii="宋体" w:hAnsi="宋体" w:eastAsia="宋体" w:cs="宋体"/>
                <w:b w:val="0"/>
                <w:bCs/>
                <w:color w:val="auto"/>
                <w:szCs w:val="21"/>
                <w:highlight w:val="none"/>
                <w:vertAlign w:val="subscript"/>
                <w:lang w:val="en-US" w:eastAsia="zh-CN"/>
                <w:woUserID w:val="4"/>
              </w:rPr>
              <w:t>8</w:t>
            </w:r>
          </w:p>
        </w:tc>
        <w:tc>
          <w:tcPr>
            <w:tcW w:w="851" w:type="dxa"/>
            <w:tcBorders>
              <w:top w:val="single" w:color="auto" w:sz="4" w:space="0"/>
              <w:left w:val="single" w:color="auto" w:sz="4" w:space="0"/>
              <w:bottom w:val="single" w:color="auto" w:sz="4" w:space="0"/>
              <w:right w:val="single" w:color="auto" w:sz="4" w:space="0"/>
            </w:tcBorders>
            <w:shd w:val="clear" w:color="auto" w:fill="auto"/>
            <w:vAlign w:val="top"/>
          </w:tcPr>
          <w:p w14:paraId="4B8616DB">
            <w:pPr>
              <w:keepNext w:val="0"/>
              <w:keepLines w:val="0"/>
              <w:widowControl/>
              <w:numPr>
                <w:ilvl w:val="-1"/>
                <w:numId w:val="0"/>
              </w:numPr>
              <w:suppressLineNumbers w:val="0"/>
              <w:kinsoku/>
              <w:overflowPunct/>
              <w:topLinePunct w:val="0"/>
              <w:bidi w:val="0"/>
              <w:adjustRightInd/>
              <w:snapToGrid/>
              <w:spacing w:before="0" w:beforeLines="-2147483648" w:beforeAutospacing="1" w:after="0" w:afterLines="-2147483648" w:afterAutospacing="1"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Symbol" w:hAnsi="Symbol" w:eastAsia="宋体" w:cs="Symbol"/>
                <w:i/>
                <w:iCs w:val="0"/>
                <w:color w:val="auto"/>
                <w:kern w:val="2"/>
                <w:sz w:val="21"/>
                <w:szCs w:val="21"/>
                <w:highlight w:val="none"/>
                <w:shd w:val="clear" w:fill="FFFFFF"/>
                <w:lang w:val="en-US" w:eastAsia="zh-CN" w:bidi="ar"/>
                <w:woUserID w:val="4"/>
              </w:rPr>
              <w:t>q</w:t>
            </w:r>
            <w:r>
              <w:rPr>
                <w:rFonts w:hint="default" w:ascii="Times New Roman" w:hAnsi="Times New Roman" w:eastAsia="黑体" w:cs="Times New Roman"/>
                <w:color w:val="auto"/>
                <w:kern w:val="2"/>
                <w:sz w:val="21"/>
                <w:szCs w:val="21"/>
                <w:highlight w:val="none"/>
                <w:shd w:val="clear" w:fill="FFFFFF"/>
                <w:vertAlign w:val="subscript"/>
                <w:lang w:val="en-US" w:eastAsia="zh-CN" w:bidi="ar"/>
                <w:woUserID w:val="4"/>
              </w:rPr>
              <w:t>1</w:t>
            </w:r>
          </w:p>
        </w:tc>
        <w:tc>
          <w:tcPr>
            <w:tcW w:w="851" w:type="dxa"/>
            <w:tcBorders>
              <w:top w:val="single" w:color="auto" w:sz="4" w:space="0"/>
              <w:left w:val="single" w:color="auto" w:sz="4" w:space="0"/>
              <w:bottom w:val="single" w:color="auto" w:sz="4" w:space="0"/>
              <w:right w:val="single" w:color="auto" w:sz="4" w:space="0"/>
            </w:tcBorders>
            <w:shd w:val="clear" w:color="auto" w:fill="auto"/>
            <w:vAlign w:val="top"/>
          </w:tcPr>
          <w:p w14:paraId="7FE6A0B9">
            <w:pPr>
              <w:keepNext w:val="0"/>
              <w:keepLines w:val="0"/>
              <w:widowControl/>
              <w:numPr>
                <w:ilvl w:val="-1"/>
                <w:numId w:val="0"/>
              </w:numPr>
              <w:suppressLineNumbers w:val="0"/>
              <w:kinsoku/>
              <w:overflowPunct/>
              <w:topLinePunct w:val="0"/>
              <w:bidi w:val="0"/>
              <w:adjustRightInd/>
              <w:snapToGrid/>
              <w:spacing w:before="0" w:beforeLines="-2147483648" w:beforeAutospacing="1" w:after="0" w:afterLines="-2147483648" w:afterAutospacing="1"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default" w:ascii="Symbol" w:hAnsi="Symbol" w:eastAsia="宋体" w:cs="Symbol"/>
                <w:i/>
                <w:iCs w:val="0"/>
                <w:color w:val="auto"/>
                <w:kern w:val="2"/>
                <w:sz w:val="21"/>
                <w:szCs w:val="21"/>
                <w:highlight w:val="none"/>
                <w:shd w:val="clear" w:fill="FFFFFF"/>
                <w:lang w:val="en-US" w:eastAsia="zh-CN" w:bidi="ar"/>
                <w:woUserID w:val="4"/>
              </w:rPr>
              <w:t>q</w:t>
            </w:r>
            <w:r>
              <w:rPr>
                <w:rFonts w:hint="default" w:ascii="Times New Roman" w:hAnsi="Times New Roman" w:eastAsia="黑体" w:cs="Times New Roman"/>
                <w:color w:val="auto"/>
                <w:kern w:val="2"/>
                <w:sz w:val="21"/>
                <w:szCs w:val="21"/>
                <w:highlight w:val="none"/>
                <w:shd w:val="clear" w:fill="FFFFFF"/>
                <w:vertAlign w:val="subscript"/>
                <w:lang w:val="en-US" w:eastAsia="zh-CN" w:bidi="ar"/>
                <w:woUserID w:val="4"/>
              </w:rPr>
              <w:t>2</w:t>
            </w:r>
          </w:p>
        </w:tc>
      </w:tr>
      <w:tr w14:paraId="4DFD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auto"/>
            <w:vAlign w:val="top"/>
          </w:tcPr>
          <w:p w14:paraId="241C761C">
            <w:pPr>
              <w:keepNext w:val="0"/>
              <w:keepLines w:val="0"/>
              <w:widowControl/>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color w:val="auto"/>
                <w:kern w:val="2"/>
                <w:sz w:val="20"/>
                <w:szCs w:val="20"/>
                <w:highlight w:val="none"/>
                <w:shd w:val="clear" w:fill="FFFFFF"/>
                <w:lang w:val="en-US" w:eastAsia="zh" w:bidi="ar"/>
                <w:woUserID w:val="4"/>
              </w:rPr>
              <w:t>≥</w:t>
            </w:r>
            <w:r>
              <w:rPr>
                <w:rFonts w:hint="eastAsia" w:ascii="宋体" w:hAnsi="宋体" w:eastAsia="宋体" w:cs="宋体"/>
                <w:b w:val="0"/>
                <w:bCs/>
                <w:color w:val="auto"/>
                <w:szCs w:val="21"/>
                <w:highlight w:val="none"/>
                <w:lang w:val="en-US" w:eastAsia="zh-CN"/>
                <w:woUserID w:val="4"/>
              </w:rPr>
              <w:t>10 mm</w:t>
            </w:r>
          </w:p>
        </w:tc>
        <w:tc>
          <w:tcPr>
            <w:tcW w:w="1624"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6D0DDCFD">
            <w:pPr>
              <w:keepNext w:val="0"/>
              <w:keepLines w:val="0"/>
              <w:widowControl/>
              <w:numPr>
                <w:ilvl w:val="-1"/>
                <w:numId w:val="0"/>
              </w:numPr>
              <w:suppressLineNumbers w:val="0"/>
              <w:kinsoku/>
              <w:overflowPunct/>
              <w:topLinePunct/>
              <w:bidi w:val="0"/>
              <w:adjustRightInd w:val="0"/>
              <w:snapToGrid w:val="0"/>
              <w:spacing w:before="0" w:beforeLines="-2147483648" w:beforeAutospacing="1" w:after="0" w:afterLines="-2147483648" w:afterAutospacing="1"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eastAsia" w:ascii="宋体" w:hAnsi="宋体" w:cs="宋体"/>
                <w:color w:val="auto"/>
                <w:kern w:val="2"/>
                <w:sz w:val="20"/>
                <w:szCs w:val="20"/>
                <w:highlight w:val="none"/>
                <w:shd w:val="clear" w:fill="FFFFFF"/>
                <w:lang w:val="en-US" w:eastAsia="zh" w:bidi="ar"/>
                <w:woUserID w:val="4"/>
              </w:rPr>
              <w:t>≥</w:t>
            </w:r>
            <w:r>
              <w:rPr>
                <w:rFonts w:hint="eastAsia" w:ascii="宋体" w:hAnsi="宋体" w:eastAsia="宋体" w:cs="宋体"/>
                <w:b w:val="0"/>
                <w:bCs/>
                <w:color w:val="auto"/>
                <w:szCs w:val="21"/>
                <w:highlight w:val="none"/>
                <w:lang w:val="en-US" w:eastAsia="zh-CN"/>
                <w:woUserID w:val="4"/>
              </w:rPr>
              <w:t>0 mm</w:t>
            </w:r>
          </w:p>
        </w:tc>
        <w:tc>
          <w:tcPr>
            <w:tcW w:w="170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7EF6FEF7">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Cs w:val="21"/>
                <w:highlight w:val="none"/>
                <w:lang w:val="en-US" w:eastAsia="zh"/>
                <w:woUserID w:val="4"/>
              </w:rPr>
              <w:t>≥</w:t>
            </w:r>
            <w:r>
              <w:rPr>
                <w:rFonts w:hint="eastAsia" w:ascii="宋体" w:hAnsi="宋体" w:eastAsia="宋体" w:cs="宋体"/>
                <w:b w:val="0"/>
                <w:bCs/>
                <w:color w:val="auto"/>
                <w:szCs w:val="21"/>
                <w:highlight w:val="none"/>
                <w:lang w:val="en-US" w:eastAsia="zh-CN"/>
                <w:woUserID w:val="4"/>
              </w:rPr>
              <w:t>10 mm</w:t>
            </w:r>
          </w:p>
        </w:tc>
        <w:tc>
          <w:tcPr>
            <w:tcW w:w="170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735AAF43">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Cs w:val="21"/>
                <w:highlight w:val="none"/>
                <w:lang w:val="en-US" w:eastAsia="zh"/>
                <w:woUserID w:val="4"/>
              </w:rPr>
              <w:t>≥</w:t>
            </w:r>
            <w:r>
              <w:rPr>
                <w:rFonts w:hint="eastAsia" w:ascii="宋体" w:hAnsi="宋体" w:eastAsia="宋体" w:cs="宋体"/>
                <w:b w:val="0"/>
                <w:bCs/>
                <w:color w:val="auto"/>
                <w:szCs w:val="21"/>
                <w:highlight w:val="none"/>
                <w:lang w:val="en-US" w:eastAsia="zh-CN"/>
                <w:woUserID w:val="4"/>
              </w:rPr>
              <w:t>30 mm</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top"/>
          </w:tcPr>
          <w:p w14:paraId="08938F28">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Cs w:val="21"/>
                <w:highlight w:val="none"/>
                <w:lang w:val="en-US" w:eastAsia="zh"/>
                <w:woUserID w:val="4"/>
              </w:rPr>
              <w:t>≥</w:t>
            </w:r>
            <w:r>
              <w:rPr>
                <w:rFonts w:hint="eastAsia" w:ascii="宋体" w:hAnsi="宋体" w:eastAsia="宋体" w:cs="宋体"/>
                <w:b w:val="0"/>
                <w:bCs/>
                <w:color w:val="auto"/>
                <w:szCs w:val="21"/>
                <w:highlight w:val="none"/>
                <w:lang w:val="en-US" w:eastAsia="zh-CN"/>
                <w:woUserID w:val="4"/>
              </w:rPr>
              <w:t>10 mm</w:t>
            </w:r>
          </w:p>
        </w:tc>
        <w:tc>
          <w:tcPr>
            <w:tcW w:w="170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9F5AAEB">
            <w:pPr>
              <w:keepNext w:val="0"/>
              <w:keepLines w:val="0"/>
              <w:widowControl w:val="0"/>
              <w:numPr>
                <w:ilvl w:val="-1"/>
                <w:numId w:val="0"/>
              </w:numPr>
              <w:suppressLineNumbers w:val="0"/>
              <w:kinsoku/>
              <w:overflowPunct/>
              <w:topLinePunct/>
              <w:bidi w:val="0"/>
              <w:adjustRightInd w:val="0"/>
              <w:snapToGrid w:val="0"/>
              <w:spacing w:before="0" w:beforeLines="-2147483648" w:beforeAutospacing="0" w:after="0" w:afterLines="-2147483648" w:afterAutospacing="0" w:line="360" w:lineRule="auto"/>
              <w:ind w:left="0" w:right="0"/>
              <w:jc w:val="center"/>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color w:val="auto"/>
                <w:szCs w:val="21"/>
                <w:highlight w:val="none"/>
                <w:lang w:val="en-US" w:eastAsia="zh-CN"/>
                <w:woUserID w:val="4"/>
              </w:rPr>
              <w:t>60°±10°</w:t>
            </w:r>
          </w:p>
        </w:tc>
      </w:tr>
    </w:tbl>
    <w:p w14:paraId="4D21EA2C">
      <w:pPr>
        <w:widowControl w:val="0"/>
        <w:numPr>
          <w:ilvl w:val="-1"/>
          <w:numId w:val="0"/>
        </w:numPr>
        <w:kinsoku/>
        <w:overflowPunct/>
        <w:topLinePunct/>
        <w:bidi w:val="0"/>
        <w:adjustRightInd w:val="0"/>
        <w:snapToGrid w:val="0"/>
        <w:spacing w:before="0" w:beforeLines="-2147483648" w:after="0" w:afterLines="-2147483648" w:line="360" w:lineRule="auto"/>
        <w:jc w:val="center"/>
        <w:outlineLvl w:val="9"/>
        <w:rPr>
          <w:rFonts w:hint="eastAsia" w:ascii="宋体" w:hAnsi="宋体" w:eastAsia="宋体" w:cs="宋体"/>
          <w:b w:val="0"/>
          <w:bCs/>
          <w:color w:val="auto"/>
          <w:sz w:val="18"/>
          <w:szCs w:val="18"/>
          <w:highlight w:val="none"/>
          <w:lang w:val="en-US" w:eastAsia="zh-CN"/>
          <w:woUserID w:val="4"/>
        </w:rPr>
      </w:pPr>
      <w:r>
        <w:rPr>
          <w:rFonts w:hint="eastAsia" w:ascii="宋体" w:hAnsi="宋体" w:eastAsia="宋体" w:cs="宋体"/>
          <w:b w:val="0"/>
          <w:bCs/>
          <w:color w:val="auto"/>
          <w:sz w:val="18"/>
          <w:szCs w:val="18"/>
          <w:highlight w:val="none"/>
          <w:lang w:val="en-US" w:eastAsia="zh-CN"/>
          <w:woUserID w:val="4"/>
        </w:rPr>
        <w:t>1——棱柱体试件吸水面；2——宽度测试位置；3——长度测试位置；4——圆柱体试件吸水面；5——直径测试位置。</w:t>
      </w:r>
    </w:p>
    <w:p w14:paraId="06ECF1A1">
      <w:pPr>
        <w:widowControl w:val="0"/>
        <w:numPr>
          <w:ilvl w:val="-1"/>
          <w:numId w:val="0"/>
        </w:numPr>
        <w:kinsoku/>
        <w:overflowPunct/>
        <w:topLinePunct/>
        <w:bidi w:val="0"/>
        <w:adjustRightInd w:val="0"/>
        <w:snapToGrid w:val="0"/>
        <w:spacing w:before="0" w:beforeLines="-2147483648" w:after="0" w:afterLines="-2147483648" w:line="360" w:lineRule="auto"/>
        <w:jc w:val="center"/>
        <w:outlineLvl w:val="9"/>
        <w:rPr>
          <w:rFonts w:hint="eastAsia" w:ascii="宋体" w:hAnsi="宋体" w:eastAsia="宋体" w:cs="宋体"/>
          <w:b w:val="0"/>
          <w:bCs/>
          <w:color w:val="auto"/>
          <w:sz w:val="18"/>
          <w:szCs w:val="18"/>
          <w:highlight w:val="none"/>
          <w:lang w:val="en-US" w:eastAsia="zh-CN"/>
          <w:woUserID w:val="4"/>
        </w:rPr>
      </w:pPr>
      <w:r>
        <w:rPr>
          <w:rFonts w:hint="eastAsia" w:ascii="宋体" w:hAnsi="宋体" w:eastAsia="宋体" w:cs="宋体"/>
          <w:b w:val="0"/>
          <w:bCs/>
          <w:color w:val="auto"/>
          <w:sz w:val="18"/>
          <w:szCs w:val="18"/>
          <w:highlight w:val="none"/>
          <w:lang w:val="en-US" w:eastAsia="zh-CN"/>
          <w:woUserID w:val="4"/>
        </w:rPr>
        <w:t>图7.</w:t>
      </w:r>
      <w:r>
        <w:rPr>
          <w:rFonts w:hint="eastAsia" w:ascii="宋体" w:hAnsi="宋体" w:cs="宋体"/>
          <w:b w:val="0"/>
          <w:bCs/>
          <w:color w:val="auto"/>
          <w:sz w:val="18"/>
          <w:szCs w:val="18"/>
          <w:highlight w:val="none"/>
          <w:lang w:val="en-US" w:eastAsia="zh-CN"/>
          <w:woUserID w:val="4"/>
        </w:rPr>
        <w:t>7</w:t>
      </w:r>
      <w:r>
        <w:rPr>
          <w:rFonts w:hint="eastAsia" w:ascii="宋体" w:hAnsi="宋体" w:eastAsia="宋体" w:cs="宋体"/>
          <w:b w:val="0"/>
          <w:bCs/>
          <w:color w:val="auto"/>
          <w:sz w:val="18"/>
          <w:szCs w:val="18"/>
          <w:highlight w:val="none"/>
          <w:lang w:val="en-US" w:eastAsia="zh-CN"/>
          <w:woUserID w:val="4"/>
        </w:rPr>
        <w:t>.</w:t>
      </w:r>
      <w:r>
        <w:rPr>
          <w:rFonts w:hint="eastAsia" w:ascii="宋体" w:hAnsi="宋体" w:cs="宋体"/>
          <w:b w:val="0"/>
          <w:bCs/>
          <w:color w:val="auto"/>
          <w:sz w:val="18"/>
          <w:szCs w:val="18"/>
          <w:highlight w:val="none"/>
          <w:lang w:val="en-US" w:eastAsia="zh-CN"/>
          <w:woUserID w:val="4"/>
        </w:rPr>
        <w:t>4</w:t>
      </w:r>
      <w:r>
        <w:rPr>
          <w:rFonts w:hint="eastAsia" w:ascii="宋体" w:hAnsi="宋体" w:eastAsia="宋体" w:cs="宋体"/>
          <w:b w:val="0"/>
          <w:bCs/>
          <w:color w:val="auto"/>
          <w:sz w:val="18"/>
          <w:szCs w:val="18"/>
          <w:highlight w:val="none"/>
          <w:lang w:val="en-US" w:eastAsia="zh-CN"/>
          <w:woUserID w:val="4"/>
        </w:rPr>
        <w:t xml:space="preserve">    </w:t>
      </w:r>
      <w:r>
        <w:rPr>
          <w:rFonts w:hint="eastAsia" w:ascii="宋体" w:hAnsi="宋体" w:eastAsia="宋体" w:cs="宋体"/>
          <w:b w:val="0"/>
          <w:bCs/>
          <w:color w:val="auto"/>
          <w:sz w:val="18"/>
          <w:szCs w:val="18"/>
          <w:highlight w:val="none"/>
          <w:lang w:val="en-US" w:eastAsia="zh"/>
          <w:woUserID w:val="4"/>
        </w:rPr>
        <w:t>超高性能混凝土</w:t>
      </w:r>
      <w:r>
        <w:rPr>
          <w:rFonts w:hint="eastAsia" w:ascii="宋体" w:hAnsi="宋体" w:eastAsia="宋体" w:cs="宋体"/>
          <w:b w:val="0"/>
          <w:bCs/>
          <w:color w:val="auto"/>
          <w:sz w:val="18"/>
          <w:szCs w:val="18"/>
          <w:highlight w:val="none"/>
          <w:lang w:val="en-US" w:eastAsia="zh-CN"/>
          <w:woUserID w:val="4"/>
        </w:rPr>
        <w:t>试件吸水面长度、宽度或直径的测量方法</w:t>
      </w:r>
    </w:p>
    <w:p w14:paraId="50EC277D">
      <w:pPr>
        <w:widowControl w:val="0"/>
        <w:numPr>
          <w:ilvl w:val="-1"/>
          <w:numId w:val="0"/>
        </w:numPr>
        <w:kinsoku/>
        <w:overflowPunct/>
        <w:topLinePunct/>
        <w:bidi w:val="0"/>
        <w:adjustRightInd w:val="0"/>
        <w:snapToGrid w:val="0"/>
        <w:spacing w:before="0" w:beforeLines="-2147483648" w:after="0" w:afterLines="-2147483648" w:line="360" w:lineRule="auto"/>
        <w:jc w:val="center"/>
        <w:outlineLvl w:val="9"/>
        <w:rPr>
          <w:rFonts w:hint="eastAsia" w:ascii="宋体" w:hAnsi="宋体" w:eastAsia="宋体" w:cs="宋体"/>
          <w:b w:val="0"/>
          <w:bCs/>
          <w:color w:val="auto"/>
          <w:sz w:val="18"/>
          <w:szCs w:val="18"/>
          <w:highlight w:val="none"/>
          <w:lang w:val="en-US" w:eastAsia="zh-CN"/>
          <w:woUserID w:val="4"/>
        </w:rPr>
      </w:pPr>
    </w:p>
    <w:p w14:paraId="7839967B">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2  采用美纹纸压敏胶粘带遮盖试件的吸水面及其对面，应完全遮盖且无间隙。将试件吸水面朝上放置，采用环氧树脂对试件侧面进行完全涂抹密封处理，待环氧树脂完全固化后，揭去美纹纸压敏胶粘带并清理干净残胶。</w:t>
      </w:r>
    </w:p>
    <w:p w14:paraId="6D4D0A04">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3  试件吸水面不应沾染环氧树脂。</w:t>
      </w:r>
    </w:p>
    <w:p w14:paraId="353D7F61">
      <w:pPr>
        <w:widowControl w:val="0"/>
        <w:numPr>
          <w:ilvl w:val="-1"/>
          <w:numId w:val="0"/>
        </w:numPr>
        <w:kinsoku/>
        <w:overflowPunct/>
        <w:topLinePunct/>
        <w:bidi w:val="0"/>
        <w:adjustRightInd w:val="0"/>
        <w:snapToGrid w:val="0"/>
        <w:spacing w:before="0" w:beforeLines="-2147483648" w:after="0" w:afterLines="-2147483648" w:line="360" w:lineRule="auto"/>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bCs/>
          <w:color w:val="auto"/>
          <w:szCs w:val="21"/>
          <w:highlight w:val="none"/>
          <w:lang w:val="en-US" w:eastAsia="zh-CN"/>
          <w:woUserID w:val="4"/>
        </w:rPr>
        <w:t>7.</w:t>
      </w:r>
      <w:r>
        <w:rPr>
          <w:rFonts w:hint="eastAsia" w:ascii="宋体" w:hAnsi="宋体" w:cs="宋体"/>
          <w:b/>
          <w:bCs/>
          <w:color w:val="auto"/>
          <w:szCs w:val="21"/>
          <w:highlight w:val="none"/>
          <w:lang w:val="en-US" w:eastAsia="zh-CN"/>
          <w:woUserID w:val="4"/>
        </w:rPr>
        <w:t>7</w:t>
      </w:r>
      <w:r>
        <w:rPr>
          <w:rFonts w:hint="eastAsia" w:ascii="宋体" w:hAnsi="宋体" w:eastAsia="宋体" w:cs="宋体"/>
          <w:b/>
          <w:bCs/>
          <w:color w:val="auto"/>
          <w:szCs w:val="21"/>
          <w:highlight w:val="none"/>
          <w:lang w:val="en-US" w:eastAsia="zh-CN"/>
          <w:woUserID w:val="4"/>
        </w:rPr>
        <w:t>.</w:t>
      </w:r>
      <w:r>
        <w:rPr>
          <w:rFonts w:hint="eastAsia" w:ascii="宋体" w:hAnsi="宋体" w:cs="宋体"/>
          <w:b/>
          <w:bCs/>
          <w:color w:val="auto"/>
          <w:szCs w:val="21"/>
          <w:highlight w:val="none"/>
          <w:lang w:val="en-US" w:eastAsia="zh-CN"/>
          <w:woUserID w:val="4"/>
        </w:rPr>
        <w:t>5</w:t>
      </w:r>
      <w:r>
        <w:rPr>
          <w:rFonts w:hint="eastAsia" w:ascii="宋体" w:hAnsi="宋体" w:eastAsia="宋体" w:cs="宋体"/>
          <w:b/>
          <w:bCs/>
          <w:color w:val="auto"/>
          <w:szCs w:val="21"/>
          <w:highlight w:val="none"/>
          <w:lang w:val="en-US" w:eastAsia="zh-CN"/>
          <w:woUserID w:val="4"/>
        </w:rPr>
        <w:t xml:space="preserve"> </w:t>
      </w:r>
      <w:r>
        <w:rPr>
          <w:rFonts w:hint="eastAsia" w:ascii="宋体" w:hAnsi="宋体" w:eastAsia="宋体" w:cs="宋体"/>
          <w:b w:val="0"/>
          <w:bCs/>
          <w:color w:val="auto"/>
          <w:szCs w:val="21"/>
          <w:highlight w:val="none"/>
          <w:lang w:val="en-US" w:eastAsia="zh-CN"/>
          <w:woUserID w:val="4"/>
        </w:rPr>
        <w:t xml:space="preserve"> 试件干燥处理应符合下列规定：</w:t>
      </w:r>
    </w:p>
    <w:p w14:paraId="1B4DE03D">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1  取出</w:t>
      </w:r>
      <w:r>
        <w:rPr>
          <w:rFonts w:hint="eastAsia" w:ascii="宋体" w:hAnsi="宋体" w:cs="宋体"/>
          <w:b w:val="0"/>
          <w:bCs/>
          <w:color w:val="auto"/>
          <w:szCs w:val="21"/>
          <w:highlight w:val="none"/>
          <w:lang w:val="en-US" w:eastAsia="zh"/>
          <w:woUserID w:val="0"/>
        </w:rPr>
        <w:t>超高性能混凝土</w:t>
      </w:r>
      <w:r>
        <w:rPr>
          <w:rFonts w:hint="eastAsia" w:ascii="宋体" w:hAnsi="宋体" w:eastAsia="宋体" w:cs="宋体"/>
          <w:b w:val="0"/>
          <w:bCs/>
          <w:color w:val="auto"/>
          <w:szCs w:val="21"/>
          <w:highlight w:val="none"/>
          <w:lang w:val="en-US" w:eastAsia="zh-CN"/>
          <w:woUserID w:val="0"/>
        </w:rPr>
        <w:t>试件，用拧干的湿毛巾擦干试件表面多余水分后，将试件放入工作温度为60 ℃的干燥箱，试件应居中摆放在干燥箱内的多孔隔板上，吸水面应垂直隔板平面；相邻试件端面间距不应小于30 mm，试件与干燥箱内壁间距不应小于50 mm，每层隔板仅允许摆放1层试件。干燥箱内部应放置盛满蓝色硅胶的托盘，托盘深度不应小于15 mm，托盘面积不应小于隔板面积的25%。干燥过程中，干燥箱不应开启鼓风，变色硅胶应始终保持蓝色，已变色部分应及时更换。</w:t>
      </w:r>
    </w:p>
    <w:p w14:paraId="42F20B59">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2  在干燥处理过程中，环氧树脂与</w:t>
      </w:r>
      <w:r>
        <w:rPr>
          <w:rFonts w:hint="eastAsia" w:ascii="宋体" w:hAnsi="宋体" w:eastAsia="宋体" w:cs="宋体"/>
          <w:b w:val="0"/>
          <w:bCs/>
          <w:color w:val="auto"/>
          <w:szCs w:val="21"/>
          <w:highlight w:val="none"/>
          <w:lang w:val="en-US" w:eastAsia="zh"/>
          <w:woUserID w:val="0"/>
        </w:rPr>
        <w:t>超高性能混凝土</w:t>
      </w:r>
      <w:r>
        <w:rPr>
          <w:rFonts w:hint="eastAsia" w:ascii="宋体" w:hAnsi="宋体" w:eastAsia="宋体" w:cs="宋体"/>
          <w:b w:val="0"/>
          <w:bCs/>
          <w:color w:val="auto"/>
          <w:szCs w:val="21"/>
          <w:highlight w:val="none"/>
          <w:lang w:val="en-US" w:eastAsia="zh-CN"/>
          <w:woUserID w:val="0"/>
        </w:rPr>
        <w:t>试件的界面处不应产生脱空、鼓泡和开裂等缺陷。</w:t>
      </w:r>
    </w:p>
    <w:p w14:paraId="5FCC8DC7">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3  当干燥时间达到（72±0.5）h时，将</w:t>
      </w:r>
      <w:r>
        <w:rPr>
          <w:rFonts w:hint="eastAsia" w:ascii="宋体" w:hAnsi="宋体" w:eastAsia="宋体" w:cs="宋体"/>
          <w:b w:val="0"/>
          <w:bCs/>
          <w:color w:val="auto"/>
          <w:szCs w:val="21"/>
          <w:highlight w:val="none"/>
          <w:lang w:val="en-US" w:eastAsia="zh"/>
          <w:woUserID w:val="0"/>
        </w:rPr>
        <w:t>超高性能混凝土</w:t>
      </w:r>
      <w:r>
        <w:rPr>
          <w:rFonts w:hint="eastAsia" w:ascii="宋体" w:hAnsi="宋体" w:eastAsia="宋体" w:cs="宋体"/>
          <w:b w:val="0"/>
          <w:bCs/>
          <w:color w:val="auto"/>
          <w:szCs w:val="21"/>
          <w:highlight w:val="none"/>
          <w:lang w:val="en-US" w:eastAsia="zh-CN"/>
          <w:woUserID w:val="0"/>
        </w:rPr>
        <w:t>试件逐个取出并立即装入夹链自封袋内，排出夹链自封袋内部空气后封合夹链，检查并确认夹链封合完全后，保持夹链端向内装入另一个夹链自封袋，重复该操作直至每个试件被3个夹链自封袋包裹密封。</w:t>
      </w:r>
    </w:p>
    <w:p w14:paraId="0E972CB2">
      <w:pPr>
        <w:widowControl w:val="0"/>
        <w:numPr>
          <w:ilvl w:val="-1"/>
          <w:numId w:val="0"/>
        </w:numPr>
        <w:kinsoku/>
        <w:overflowPunct/>
        <w:topLinePunct w:val="0"/>
        <w:bidi w:val="0"/>
        <w:adjustRightInd/>
        <w:snapToGrid/>
        <w:spacing w:before="0" w:beforeLines="0" w:after="0" w:afterLines="-2147483648" w:line="360" w:lineRule="auto"/>
        <w:ind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4  将装有试件的夹链自封袋放置在温度不低于23℃的室内，放置时间应为（14～16） d，期间应避免阳光直射、高温烘烤及机械碰撞等，确保夹链自封袋无破损。</w:t>
      </w:r>
    </w:p>
    <w:p w14:paraId="2C078F91">
      <w:pPr>
        <w:widowControl w:val="0"/>
        <w:numPr>
          <w:ilvl w:val="-1"/>
          <w:numId w:val="0"/>
        </w:numPr>
        <w:kinsoku/>
        <w:overflowPunct/>
        <w:topLinePunct/>
        <w:bidi w:val="0"/>
        <w:adjustRightInd w:val="0"/>
        <w:snapToGrid w:val="0"/>
        <w:spacing w:before="0" w:beforeLines="-2147483648" w:after="0" w:afterLines="-2147483648" w:line="360" w:lineRule="auto"/>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bCs/>
          <w:color w:val="auto"/>
          <w:szCs w:val="21"/>
          <w:highlight w:val="none"/>
          <w:lang w:val="en-US" w:eastAsia="zh-CN"/>
          <w:woUserID w:val="4"/>
        </w:rPr>
        <w:t>7.</w:t>
      </w:r>
      <w:r>
        <w:rPr>
          <w:rFonts w:hint="eastAsia" w:ascii="宋体" w:hAnsi="宋体" w:cs="宋体"/>
          <w:b/>
          <w:bCs/>
          <w:color w:val="auto"/>
          <w:szCs w:val="21"/>
          <w:highlight w:val="none"/>
          <w:lang w:val="en-US" w:eastAsia="zh-CN"/>
          <w:woUserID w:val="4"/>
        </w:rPr>
        <w:t>7</w:t>
      </w:r>
      <w:r>
        <w:rPr>
          <w:rFonts w:hint="eastAsia" w:ascii="宋体" w:hAnsi="宋体" w:eastAsia="宋体" w:cs="宋体"/>
          <w:b/>
          <w:bCs/>
          <w:color w:val="auto"/>
          <w:szCs w:val="21"/>
          <w:highlight w:val="none"/>
          <w:lang w:val="en-US" w:eastAsia="zh-CN"/>
          <w:woUserID w:val="4"/>
        </w:rPr>
        <w:t>.</w:t>
      </w:r>
      <w:r>
        <w:rPr>
          <w:rFonts w:hint="eastAsia" w:ascii="宋体" w:hAnsi="宋体" w:cs="宋体"/>
          <w:b/>
          <w:bCs/>
          <w:color w:val="auto"/>
          <w:szCs w:val="21"/>
          <w:highlight w:val="none"/>
          <w:lang w:val="en-US" w:eastAsia="zh-CN"/>
          <w:woUserID w:val="4"/>
        </w:rPr>
        <w:t>6</w:t>
      </w:r>
      <w:r>
        <w:rPr>
          <w:rFonts w:hint="eastAsia" w:ascii="宋体" w:hAnsi="宋体" w:eastAsia="宋体" w:cs="宋体"/>
          <w:b/>
          <w:bCs/>
          <w:color w:val="auto"/>
          <w:szCs w:val="21"/>
          <w:highlight w:val="none"/>
          <w:lang w:val="en-US" w:eastAsia="zh-CN"/>
          <w:woUserID w:val="4"/>
        </w:rPr>
        <w:t xml:space="preserve"> </w:t>
      </w:r>
      <w:r>
        <w:rPr>
          <w:rFonts w:hint="eastAsia" w:ascii="宋体" w:hAnsi="宋体" w:eastAsia="宋体" w:cs="宋体"/>
          <w:b w:val="0"/>
          <w:bCs/>
          <w:color w:val="auto"/>
          <w:szCs w:val="21"/>
          <w:highlight w:val="none"/>
          <w:lang w:val="en-US" w:eastAsia="zh-CN"/>
          <w:woUserID w:val="4"/>
        </w:rPr>
        <w:t xml:space="preserve"> 测试应按下列步骤进行：</w:t>
      </w:r>
    </w:p>
    <w:p w14:paraId="5C3777CD">
      <w:pPr>
        <w:pStyle w:val="125"/>
        <w:widowControl w:val="0"/>
        <w:topLinePunct/>
        <w:adjustRightInd w:val="0"/>
        <w:snapToGrid w:val="0"/>
        <w:spacing w:before="0" w:beforeLines="-2147483648" w:after="0" w:afterLines="-2147483648" w:line="360" w:lineRule="auto"/>
        <w:ind w:left="0"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1  将装有同组</w:t>
      </w:r>
      <w:r>
        <w:rPr>
          <w:rFonts w:hint="eastAsia" w:ascii="宋体" w:hAnsi="宋体" w:eastAsia="宋体" w:cs="宋体"/>
          <w:b w:val="0"/>
          <w:bCs/>
          <w:color w:val="auto"/>
          <w:szCs w:val="21"/>
          <w:highlight w:val="none"/>
          <w:lang w:val="en-US" w:eastAsia="zh"/>
          <w:woUserID w:val="0"/>
        </w:rPr>
        <w:t>超高性能混凝土</w:t>
      </w:r>
      <w:r>
        <w:rPr>
          <w:rFonts w:hint="eastAsia" w:ascii="宋体" w:hAnsi="宋体" w:eastAsia="宋体" w:cs="宋体"/>
          <w:b w:val="0"/>
          <w:bCs/>
          <w:color w:val="auto"/>
          <w:szCs w:val="21"/>
          <w:highlight w:val="none"/>
          <w:lang w:val="en-US" w:eastAsia="zh-CN"/>
          <w:woUserID w:val="0"/>
        </w:rPr>
        <w:t>试件的夹链自封袋、测试用水、平底盘和支撑件移入符合温度应保持为（23±2）℃，相对湿度不宜低于50%，无震动源的测试环境中，放置12 h以上。</w:t>
      </w:r>
    </w:p>
    <w:p w14:paraId="0F7FD496">
      <w:pPr>
        <w:pStyle w:val="125"/>
        <w:widowControl w:val="0"/>
        <w:topLinePunct/>
        <w:adjustRightInd w:val="0"/>
        <w:snapToGrid w:val="0"/>
        <w:spacing w:before="0" w:beforeLines="-2147483648" w:after="0" w:afterLines="-2147483648" w:line="360" w:lineRule="auto"/>
        <w:ind w:left="0"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2  将平底盘置于水平桌面上，向平底盘内部注水直至水从溢流孔持续流出后，将支撑件放置在平底盘底部，布置方式见图7.</w:t>
      </w:r>
      <w:r>
        <w:rPr>
          <w:rFonts w:hint="eastAsia" w:hAnsi="宋体" w:cs="宋体"/>
          <w:b w:val="0"/>
          <w:bCs/>
          <w:color w:val="auto"/>
          <w:szCs w:val="21"/>
          <w:highlight w:val="none"/>
          <w:lang w:val="en-US" w:eastAsia="zh-CN"/>
          <w:woUserID w:val="0"/>
        </w:rPr>
        <w:t>7</w:t>
      </w:r>
      <w:r>
        <w:rPr>
          <w:rFonts w:hint="eastAsia" w:ascii="宋体" w:hAnsi="宋体" w:eastAsia="宋体" w:cs="宋体"/>
          <w:b w:val="0"/>
          <w:bCs/>
          <w:color w:val="auto"/>
          <w:szCs w:val="21"/>
          <w:highlight w:val="none"/>
          <w:lang w:val="en-US" w:eastAsia="zh-CN"/>
          <w:woUserID w:val="0"/>
        </w:rPr>
        <w:t>.2。</w:t>
      </w:r>
    </w:p>
    <w:p w14:paraId="29D60B5F">
      <w:pPr>
        <w:pStyle w:val="125"/>
        <w:widowControl w:val="0"/>
        <w:topLinePunct/>
        <w:adjustRightInd w:val="0"/>
        <w:snapToGrid w:val="0"/>
        <w:spacing w:before="0" w:beforeLines="-2147483648" w:after="0" w:afterLines="-2147483648" w:line="360" w:lineRule="auto"/>
        <w:ind w:left="0"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3  试验期间，平底盘内水面应始终保持高于支撑件顶部至少2 mm，水面高度不足时应及时补水。</w:t>
      </w:r>
    </w:p>
    <w:p w14:paraId="70400666">
      <w:pPr>
        <w:pStyle w:val="125"/>
        <w:widowControl w:val="0"/>
        <w:topLinePunct/>
        <w:adjustRightInd w:val="0"/>
        <w:snapToGrid w:val="0"/>
        <w:spacing w:before="0" w:beforeLines="-2147483648" w:after="0" w:afterLines="-2147483648" w:line="360" w:lineRule="auto"/>
        <w:ind w:left="0" w:firstLine="420" w:firstLineChars="200"/>
        <w:outlineLvl w:val="9"/>
        <w:rPr>
          <w:rFonts w:hint="eastAsia" w:ascii="宋体" w:hAnsi="宋体" w:eastAsia="宋体" w:cs="宋体"/>
          <w:b w:val="0"/>
          <w:bCs/>
          <w:color w:val="auto"/>
          <w:szCs w:val="21"/>
          <w:highlight w:val="none"/>
          <w:lang w:val="en-US" w:eastAsia="zh-CN"/>
          <w:woUserID w:val="0"/>
        </w:rPr>
      </w:pPr>
      <w:r>
        <w:rPr>
          <w:rFonts w:hint="eastAsia" w:ascii="宋体" w:hAnsi="宋体" w:eastAsia="宋体" w:cs="宋体"/>
          <w:b w:val="0"/>
          <w:bCs/>
          <w:color w:val="auto"/>
          <w:szCs w:val="21"/>
          <w:highlight w:val="none"/>
          <w:lang w:val="en-US" w:eastAsia="zh-CN"/>
          <w:woUserID w:val="0"/>
        </w:rPr>
        <w:t>4  试验期间，应在下列规定的时间点测量试件质量mt，并记录对应的吸水时间t：</w:t>
      </w:r>
    </w:p>
    <w:p w14:paraId="0649CEA9">
      <w:pPr>
        <w:pStyle w:val="125"/>
        <w:widowControl w:val="0"/>
        <w:numPr>
          <w:ilvl w:val="0"/>
          <w:numId w:val="20"/>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当t = 4 min±10 s时，首次测量试件质量mt，吸水时间t精确至1 s；</w:t>
      </w:r>
    </w:p>
    <w:p w14:paraId="2E1EC2F9">
      <w:pPr>
        <w:pStyle w:val="125"/>
        <w:widowControl w:val="0"/>
        <w:numPr>
          <w:ilvl w:val="0"/>
          <w:numId w:val="20"/>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当t =（20</w:t>
      </w:r>
      <w:r>
        <w:rPr>
          <w:rFonts w:hint="eastAsia" w:ascii="宋体" w:hAnsi="宋体" w:eastAsia="宋体" w:cs="宋体"/>
          <w:b w:val="0"/>
          <w:bCs w:val="0"/>
          <w:color w:val="auto"/>
          <w:szCs w:val="21"/>
          <w:highlight w:val="none"/>
          <w:shd w:val="clear" w:color="000000" w:fill="FFFFFF"/>
          <w:lang w:val="en-US" w:eastAsia="zh-CN"/>
          <w:woUserID w:val="4"/>
        </w:rPr>
        <w:t>±</w:t>
      </w:r>
      <w:r>
        <w:rPr>
          <w:rFonts w:hint="eastAsia" w:ascii="宋体" w:hAnsi="宋体" w:eastAsia="宋体" w:cs="宋体"/>
          <w:b w:val="0"/>
          <w:bCs w:val="0"/>
          <w:color w:val="auto"/>
          <w:szCs w:val="21"/>
          <w:highlight w:val="none"/>
          <w:shd w:val="clear" w:color="000000" w:fill="FFFFFF"/>
          <w:lang w:val="en-US" w:eastAsia="zh-CN"/>
          <w:woUserID w:val="0"/>
        </w:rPr>
        <w:t>1）min时，再次测量试件质量mt，吸水时间t精确至1 s；</w:t>
      </w:r>
    </w:p>
    <w:p w14:paraId="2AF50748">
      <w:pPr>
        <w:pStyle w:val="125"/>
        <w:widowControl w:val="0"/>
        <w:numPr>
          <w:ilvl w:val="0"/>
          <w:numId w:val="20"/>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当20 min &lt; t</w:t>
      </w:r>
      <w:r>
        <w:rPr>
          <w:rFonts w:hint="eastAsia" w:ascii="宋体" w:hAnsi="宋体" w:eastAsia="宋体" w:cs="宋体"/>
          <w:b w:val="0"/>
          <w:bCs w:val="0"/>
          <w:color w:val="auto"/>
          <w:szCs w:val="21"/>
          <w:highlight w:val="none"/>
          <w:shd w:val="clear" w:color="000000" w:fill="FFFFFF"/>
          <w:lang w:val="en-US" w:eastAsia="zh"/>
          <w:woUserID w:val="4"/>
        </w:rPr>
        <w:t>≤</w:t>
      </w:r>
      <w:r>
        <w:rPr>
          <w:rFonts w:hint="eastAsia" w:ascii="宋体" w:hAnsi="宋体" w:eastAsia="宋体" w:cs="宋体"/>
          <w:b w:val="0"/>
          <w:bCs w:val="0"/>
          <w:color w:val="auto"/>
          <w:szCs w:val="21"/>
          <w:highlight w:val="none"/>
          <w:shd w:val="clear" w:color="000000" w:fill="FFFFFF"/>
          <w:lang w:val="en-US" w:eastAsia="zh-CN"/>
          <w:woUserID w:val="0"/>
        </w:rPr>
        <w:t>2 h时，间隔（20±1）min重复测量试件质量m</w:t>
      </w:r>
      <w:r>
        <w:rPr>
          <w:rFonts w:hint="eastAsia" w:ascii="宋体" w:hAnsi="宋体" w:eastAsia="宋体" w:cs="宋体"/>
          <w:b w:val="0"/>
          <w:bCs w:val="0"/>
          <w:color w:val="auto"/>
          <w:szCs w:val="21"/>
          <w:highlight w:val="none"/>
          <w:shd w:val="clear" w:color="000000" w:fill="FFFFFF"/>
          <w:vertAlign w:val="subscript"/>
          <w:lang w:val="en-US" w:eastAsia="zh-CN"/>
          <w:woUserID w:val="0"/>
        </w:rPr>
        <w:t>t</w:t>
      </w:r>
      <w:r>
        <w:rPr>
          <w:rFonts w:hint="eastAsia" w:ascii="宋体" w:hAnsi="宋体" w:eastAsia="宋体" w:cs="宋体"/>
          <w:b w:val="0"/>
          <w:bCs w:val="0"/>
          <w:color w:val="auto"/>
          <w:szCs w:val="21"/>
          <w:highlight w:val="none"/>
          <w:shd w:val="clear" w:color="000000" w:fill="FFFFFF"/>
          <w:lang w:val="en-US" w:eastAsia="zh-CN"/>
          <w:woUserID w:val="0"/>
        </w:rPr>
        <w:t>，吸水时间t精确至10 s；</w:t>
      </w:r>
    </w:p>
    <w:p w14:paraId="671B4CF0">
      <w:pPr>
        <w:pStyle w:val="125"/>
        <w:widowControl w:val="0"/>
        <w:numPr>
          <w:ilvl w:val="0"/>
          <w:numId w:val="20"/>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当2 h &lt; t</w:t>
      </w:r>
      <w:r>
        <w:rPr>
          <w:rFonts w:hint="eastAsia" w:ascii="宋体" w:hAnsi="宋体" w:eastAsia="宋体" w:cs="宋体"/>
          <w:b w:val="0"/>
          <w:bCs w:val="0"/>
          <w:color w:val="auto"/>
          <w:szCs w:val="21"/>
          <w:highlight w:val="none"/>
          <w:shd w:val="clear" w:color="000000" w:fill="FFFFFF"/>
          <w:lang w:val="en-US" w:eastAsia="zh"/>
          <w:woUserID w:val="4"/>
        </w:rPr>
        <w:t>≤</w:t>
      </w:r>
      <w:r>
        <w:rPr>
          <w:rFonts w:hint="eastAsia" w:ascii="宋体" w:hAnsi="宋体" w:eastAsia="宋体" w:cs="宋体"/>
          <w:b w:val="0"/>
          <w:bCs w:val="0"/>
          <w:color w:val="auto"/>
          <w:szCs w:val="21"/>
          <w:highlight w:val="none"/>
          <w:shd w:val="clear" w:color="000000" w:fill="FFFFFF"/>
          <w:lang w:val="en-US" w:eastAsia="zh-CN"/>
          <w:woUserID w:val="0"/>
        </w:rPr>
        <w:t xml:space="preserve"> 6 h时，间隔（30±2）min重复测量试件质量m</w:t>
      </w:r>
      <w:r>
        <w:rPr>
          <w:rFonts w:hint="eastAsia" w:ascii="宋体" w:hAnsi="宋体" w:eastAsia="宋体" w:cs="宋体"/>
          <w:b w:val="0"/>
          <w:bCs w:val="0"/>
          <w:color w:val="auto"/>
          <w:szCs w:val="21"/>
          <w:highlight w:val="none"/>
          <w:shd w:val="clear" w:color="000000" w:fill="FFFFFF"/>
          <w:vertAlign w:val="subscript"/>
          <w:lang w:val="en-US" w:eastAsia="zh-CN"/>
          <w:woUserID w:val="0"/>
        </w:rPr>
        <w:t>t</w:t>
      </w:r>
      <w:r>
        <w:rPr>
          <w:rFonts w:hint="eastAsia" w:ascii="宋体" w:hAnsi="宋体" w:eastAsia="宋体" w:cs="宋体"/>
          <w:b w:val="0"/>
          <w:bCs w:val="0"/>
          <w:color w:val="auto"/>
          <w:szCs w:val="21"/>
          <w:highlight w:val="none"/>
          <w:shd w:val="clear" w:color="000000" w:fill="FFFFFF"/>
          <w:lang w:val="en-US" w:eastAsia="zh-CN"/>
          <w:woUserID w:val="0"/>
        </w:rPr>
        <w:t>，吸水时间t精确至10 s；</w:t>
      </w:r>
    </w:p>
    <w:p w14:paraId="21E3F0E1">
      <w:pPr>
        <w:pStyle w:val="125"/>
        <w:widowControl w:val="0"/>
        <w:numPr>
          <w:ilvl w:val="0"/>
          <w:numId w:val="20"/>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val="0"/>
          <w:color w:val="auto"/>
          <w:szCs w:val="21"/>
          <w:highlight w:val="none"/>
          <w:shd w:val="clear" w:color="000000" w:fill="FFFFFF"/>
          <w:lang w:val="en-US" w:eastAsia="zh-CN"/>
          <w:woUserID w:val="0"/>
        </w:rPr>
      </w:pPr>
      <w:r>
        <w:rPr>
          <w:rFonts w:hint="eastAsia" w:ascii="宋体" w:hAnsi="宋体" w:eastAsia="宋体" w:cs="宋体"/>
          <w:b w:val="0"/>
          <w:bCs w:val="0"/>
          <w:color w:val="auto"/>
          <w:szCs w:val="21"/>
          <w:highlight w:val="none"/>
          <w:shd w:val="clear" w:color="000000" w:fill="FFFFFF"/>
          <w:lang w:val="en-US" w:eastAsia="zh-CN"/>
          <w:woUserID w:val="0"/>
        </w:rPr>
        <w:t xml:space="preserve">当6 h &lt; t </w:t>
      </w:r>
      <w:r>
        <w:rPr>
          <w:rFonts w:hint="eastAsia" w:ascii="宋体" w:hAnsi="宋体" w:eastAsia="宋体" w:cs="宋体"/>
          <w:b w:val="0"/>
          <w:bCs w:val="0"/>
          <w:color w:val="auto"/>
          <w:szCs w:val="21"/>
          <w:highlight w:val="none"/>
          <w:shd w:val="clear" w:color="000000" w:fill="FFFFFF"/>
          <w:lang w:val="en-US" w:eastAsia="zh"/>
          <w:woUserID w:val="4"/>
        </w:rPr>
        <w:t>≤</w:t>
      </w:r>
      <w:r>
        <w:rPr>
          <w:rFonts w:hint="eastAsia" w:ascii="宋体" w:hAnsi="宋体" w:eastAsia="宋体" w:cs="宋体"/>
          <w:b w:val="0"/>
          <w:bCs w:val="0"/>
          <w:color w:val="auto"/>
          <w:szCs w:val="21"/>
          <w:highlight w:val="none"/>
          <w:shd w:val="clear" w:color="000000" w:fill="FFFFFF"/>
          <w:lang w:val="en-US" w:eastAsia="zh-CN"/>
          <w:woUserID w:val="0"/>
        </w:rPr>
        <w:t>8 h时，间隔1 h±5 min重复测量试件质量m</w:t>
      </w:r>
      <w:r>
        <w:rPr>
          <w:rFonts w:hint="eastAsia" w:ascii="宋体" w:hAnsi="宋体" w:eastAsia="宋体" w:cs="宋体"/>
          <w:b w:val="0"/>
          <w:bCs w:val="0"/>
          <w:color w:val="auto"/>
          <w:szCs w:val="21"/>
          <w:highlight w:val="none"/>
          <w:shd w:val="clear" w:color="000000" w:fill="FFFFFF"/>
          <w:vertAlign w:val="subscript"/>
          <w:lang w:val="en-US" w:eastAsia="zh-CN"/>
          <w:woUserID w:val="0"/>
        </w:rPr>
        <w:t>t</w:t>
      </w:r>
      <w:r>
        <w:rPr>
          <w:rFonts w:hint="eastAsia" w:ascii="宋体" w:hAnsi="宋体" w:eastAsia="宋体" w:cs="宋体"/>
          <w:b w:val="0"/>
          <w:bCs w:val="0"/>
          <w:color w:val="auto"/>
          <w:szCs w:val="21"/>
          <w:highlight w:val="none"/>
          <w:shd w:val="clear" w:color="000000" w:fill="FFFFFF"/>
          <w:lang w:val="en-US" w:eastAsia="zh-CN"/>
          <w:woUserID w:val="0"/>
        </w:rPr>
        <w:t>，吸水时间t精确至1 min；</w:t>
      </w:r>
    </w:p>
    <w:p w14:paraId="17DB5FF5">
      <w:pPr>
        <w:pStyle w:val="125"/>
        <w:widowControl w:val="0"/>
        <w:numPr>
          <w:ilvl w:val="0"/>
          <w:numId w:val="20"/>
        </w:numPr>
        <w:topLinePunct w:val="0"/>
        <w:adjustRightInd/>
        <w:snapToGrid/>
        <w:spacing w:before="0" w:beforeLines="-2147483648" w:after="0" w:afterLines="-2147483648" w:line="360" w:lineRule="auto"/>
        <w:ind w:left="0" w:leftChars="0" w:firstLine="525" w:firstLineChars="250"/>
        <w:outlineLvl w:val="9"/>
        <w:rPr>
          <w:rFonts w:hint="eastAsia" w:ascii="宋体" w:hAnsi="宋体" w:eastAsia="宋体" w:cs="宋体"/>
          <w:b w:val="0"/>
          <w:bCs/>
          <w:color w:val="auto"/>
          <w:szCs w:val="21"/>
          <w:highlight w:val="none"/>
          <w:lang w:val="en-US" w:eastAsia="zh-CN"/>
          <w:woUserID w:val="4"/>
        </w:rPr>
      </w:pPr>
      <w:r>
        <w:rPr>
          <w:rFonts w:hint="eastAsia" w:ascii="宋体" w:hAnsi="宋体" w:eastAsia="宋体" w:cs="宋体"/>
          <w:b w:val="0"/>
          <w:bCs w:val="0"/>
          <w:color w:val="auto"/>
          <w:szCs w:val="21"/>
          <w:highlight w:val="none"/>
          <w:shd w:val="clear" w:color="000000" w:fill="FFFFFF"/>
          <w:lang w:val="en-US" w:eastAsia="zh-CN"/>
          <w:woUserID w:val="0"/>
        </w:rPr>
        <w:t xml:space="preserve">当8 h &lt; t </w:t>
      </w:r>
      <w:r>
        <w:rPr>
          <w:rFonts w:hint="eastAsia" w:ascii="宋体" w:hAnsi="宋体" w:eastAsia="宋体" w:cs="宋体"/>
          <w:b w:val="0"/>
          <w:bCs w:val="0"/>
          <w:color w:val="auto"/>
          <w:szCs w:val="21"/>
          <w:highlight w:val="none"/>
          <w:shd w:val="clear" w:color="000000" w:fill="FFFFFF"/>
          <w:lang w:val="en-US" w:eastAsia="zh"/>
          <w:woUserID w:val="4"/>
        </w:rPr>
        <w:t>≤</w:t>
      </w:r>
      <w:r>
        <w:rPr>
          <w:rFonts w:hint="eastAsia" w:ascii="宋体" w:hAnsi="宋体" w:eastAsia="宋体" w:cs="宋体"/>
          <w:b w:val="0"/>
          <w:bCs w:val="0"/>
          <w:color w:val="auto"/>
          <w:szCs w:val="21"/>
          <w:highlight w:val="none"/>
          <w:shd w:val="clear" w:color="000000" w:fill="FFFFFF"/>
          <w:lang w:val="en-US" w:eastAsia="zh-CN"/>
          <w:woUserID w:val="0"/>
        </w:rPr>
        <w:t xml:space="preserve"> 24 h时，间隔4 h±10 min重复测量试件质量m</w:t>
      </w:r>
      <w:r>
        <w:rPr>
          <w:rFonts w:hint="eastAsia" w:ascii="宋体" w:hAnsi="宋体" w:eastAsia="宋体" w:cs="宋体"/>
          <w:b w:val="0"/>
          <w:bCs w:val="0"/>
          <w:color w:val="auto"/>
          <w:szCs w:val="21"/>
          <w:highlight w:val="none"/>
          <w:shd w:val="clear" w:color="000000" w:fill="FFFFFF"/>
          <w:vertAlign w:val="subscript"/>
          <w:lang w:val="en-US" w:eastAsia="zh-CN"/>
          <w:woUserID w:val="0"/>
        </w:rPr>
        <w:t>t</w:t>
      </w:r>
      <w:r>
        <w:rPr>
          <w:rFonts w:hint="eastAsia" w:ascii="宋体" w:hAnsi="宋体" w:eastAsia="宋体" w:cs="宋体"/>
          <w:b w:val="0"/>
          <w:bCs w:val="0"/>
          <w:color w:val="auto"/>
          <w:szCs w:val="21"/>
          <w:highlight w:val="none"/>
          <w:shd w:val="clear" w:color="000000" w:fill="FFFFFF"/>
          <w:lang w:val="en-US" w:eastAsia="zh-CN"/>
          <w:woUserID w:val="0"/>
        </w:rPr>
        <w:t>，吸水时间t精确至1 min</w:t>
      </w:r>
      <w:r>
        <w:rPr>
          <w:rFonts w:hint="eastAsia" w:ascii="宋体" w:hAnsi="宋体" w:eastAsia="宋体" w:cs="宋体"/>
          <w:b w:val="0"/>
          <w:bCs/>
          <w:color w:val="auto"/>
          <w:szCs w:val="21"/>
          <w:highlight w:val="none"/>
          <w:lang w:val="en-US" w:eastAsia="zh-CN"/>
          <w:woUserID w:val="4"/>
        </w:rPr>
        <w:t>；</w:t>
      </w:r>
    </w:p>
    <w:p w14:paraId="3D5FC71F">
      <w:pPr>
        <w:pStyle w:val="125"/>
        <w:widowControl w:val="0"/>
        <w:topLinePunct/>
        <w:adjustRightInd w:val="0"/>
        <w:snapToGrid w:val="0"/>
        <w:spacing w:before="0" w:beforeLines="-2147483648" w:after="0" w:afterLines="-2147483648" w:line="360" w:lineRule="auto"/>
        <w:ind w:left="0" w:firstLine="420" w:firstLineChars="200"/>
        <w:outlineLvl w:val="9"/>
        <w:rPr>
          <w:rFonts w:hint="default" w:ascii="Times New Roman" w:hAnsi="Times New Roman" w:eastAsia="黑体" w:cs="Times New Roman"/>
          <w:b w:val="0"/>
          <w:bCs/>
          <w:color w:val="auto"/>
          <w:szCs w:val="21"/>
          <w:highlight w:val="none"/>
          <w:lang w:val="en-US" w:eastAsia="zh-CN"/>
        </w:rPr>
      </w:pPr>
      <w:r>
        <w:rPr>
          <w:rFonts w:hint="eastAsia" w:ascii="宋体" w:hAnsi="宋体" w:eastAsia="宋体" w:cs="宋体"/>
          <w:b w:val="0"/>
          <w:bCs/>
          <w:color w:val="auto"/>
          <w:szCs w:val="21"/>
          <w:highlight w:val="none"/>
          <w:lang w:val="en-US" w:eastAsia="zh-CN"/>
          <w:woUserID w:val="0"/>
        </w:rPr>
        <w:t>5  在7.</w:t>
      </w:r>
      <w:r>
        <w:rPr>
          <w:rFonts w:hint="eastAsia" w:hAnsi="宋体" w:cs="宋体"/>
          <w:b w:val="0"/>
          <w:bCs/>
          <w:color w:val="auto"/>
          <w:szCs w:val="21"/>
          <w:highlight w:val="none"/>
          <w:lang w:val="en-US" w:eastAsia="zh-CN"/>
          <w:woUserID w:val="0"/>
        </w:rPr>
        <w:t>7.6</w:t>
      </w:r>
      <w:r>
        <w:rPr>
          <w:rFonts w:hint="eastAsia" w:ascii="宋体" w:hAnsi="宋体" w:eastAsia="宋体" w:cs="宋体"/>
          <w:b w:val="0"/>
          <w:bCs/>
          <w:color w:val="auto"/>
          <w:szCs w:val="21"/>
          <w:highlight w:val="none"/>
          <w:lang w:val="en-US" w:eastAsia="zh-CN"/>
          <w:woUserID w:val="0"/>
        </w:rPr>
        <w:t>条 4段规定的时间点快速取出试件，保持吸水面朝下放置在拧干并摊平的湿毛巾上，吸干表面水分后，将试件吸水面朝上放置在电子天平上测量并记录试件质量m</w:t>
      </w:r>
      <w:r>
        <w:rPr>
          <w:rFonts w:hint="eastAsia" w:ascii="宋体" w:hAnsi="宋体" w:eastAsia="宋体" w:cs="宋体"/>
          <w:b w:val="0"/>
          <w:bCs w:val="0"/>
          <w:color w:val="auto"/>
          <w:szCs w:val="21"/>
          <w:highlight w:val="none"/>
          <w:shd w:val="clear" w:color="000000" w:fill="FFFFFF"/>
          <w:vertAlign w:val="subscript"/>
          <w:lang w:val="en-US" w:eastAsia="zh-CN"/>
          <w:woUserID w:val="0"/>
        </w:rPr>
        <w:t>t</w:t>
      </w:r>
      <w:r>
        <w:rPr>
          <w:rFonts w:hint="eastAsia" w:ascii="宋体" w:hAnsi="宋体" w:eastAsia="宋体" w:cs="宋体"/>
          <w:b w:val="0"/>
          <w:bCs/>
          <w:color w:val="auto"/>
          <w:szCs w:val="21"/>
          <w:highlight w:val="none"/>
          <w:lang w:val="en-US" w:eastAsia="zh-CN"/>
          <w:woUserID w:val="0"/>
        </w:rPr>
        <w:t>。测量完成后，立即将试件重新放回平底盘原来位置继续吸水。试件取放、表面吸干和质量测量的整个操作过程应在15 s内完成。</w:t>
      </w:r>
    </w:p>
    <w:p w14:paraId="495271A0">
      <w:pPr>
        <w:widowControl/>
        <w:kinsoku/>
        <w:overflowPunct/>
        <w:topLinePunct/>
        <w:bidi w:val="0"/>
        <w:adjustRightInd w:val="0"/>
        <w:snapToGrid w:val="0"/>
        <w:spacing w:line="360" w:lineRule="auto"/>
        <w:rPr>
          <w:rFonts w:ascii="Times New Roman" w:hAnsi="Times New Roman" w:cs="Times New Roman"/>
          <w:color w:val="auto"/>
          <w:kern w:val="0"/>
          <w:highlight w:val="none"/>
        </w:rPr>
      </w:pPr>
      <w:r>
        <w:rPr>
          <w:rFonts w:hint="eastAsia" w:ascii="宋体" w:hAnsi="宋体" w:eastAsia="宋体" w:cs="宋体"/>
          <w:b/>
          <w:bCs/>
          <w:color w:val="auto"/>
          <w:szCs w:val="21"/>
          <w:highlight w:val="none"/>
          <w:lang w:val="en-US" w:eastAsia="zh-CN"/>
          <w:woUserID w:val="4"/>
        </w:rPr>
        <w:t>7.</w:t>
      </w:r>
      <w:r>
        <w:rPr>
          <w:rFonts w:hint="eastAsia" w:ascii="宋体" w:hAnsi="宋体" w:cs="宋体"/>
          <w:b/>
          <w:bCs/>
          <w:color w:val="auto"/>
          <w:szCs w:val="21"/>
          <w:highlight w:val="none"/>
          <w:lang w:val="en-US" w:eastAsia="zh-CN"/>
          <w:woUserID w:val="4"/>
        </w:rPr>
        <w:t>7</w:t>
      </w:r>
      <w:r>
        <w:rPr>
          <w:rFonts w:hint="eastAsia" w:ascii="宋体" w:hAnsi="宋体" w:eastAsia="宋体" w:cs="宋体"/>
          <w:b/>
          <w:bCs/>
          <w:color w:val="auto"/>
          <w:szCs w:val="21"/>
          <w:highlight w:val="none"/>
          <w:lang w:val="en-US" w:eastAsia="zh-CN"/>
          <w:woUserID w:val="4"/>
        </w:rPr>
        <w:t>.</w:t>
      </w:r>
      <w:r>
        <w:rPr>
          <w:rFonts w:hint="eastAsia" w:ascii="宋体" w:hAnsi="宋体" w:cs="宋体"/>
          <w:b/>
          <w:bCs/>
          <w:color w:val="auto"/>
          <w:szCs w:val="21"/>
          <w:highlight w:val="none"/>
          <w:lang w:val="en-US" w:eastAsia="zh-CN"/>
          <w:woUserID w:val="4"/>
        </w:rPr>
        <w:t>7</w:t>
      </w:r>
      <w:r>
        <w:rPr>
          <w:rFonts w:hint="default" w:ascii="Times New Roman" w:hAnsi="Times New Roman" w:eastAsia="黑体" w:cs="Times New Roman"/>
          <w:b/>
          <w:bCs/>
          <w:color w:val="auto"/>
          <w:szCs w:val="21"/>
          <w:highlight w:val="none"/>
          <w:lang w:val="en-US" w:eastAsia="zh-CN"/>
        </w:rPr>
        <w:t xml:space="preserve">  </w:t>
      </w:r>
      <w:r>
        <w:rPr>
          <w:rFonts w:ascii="Times New Roman" w:hAnsi="Times New Roman" w:cs="Times New Roman"/>
          <w:color w:val="auto"/>
          <w:kern w:val="2"/>
          <w:highlight w:val="none"/>
        </w:rPr>
        <w:t>试验结果计算</w:t>
      </w:r>
      <w:r>
        <w:rPr>
          <w:rFonts w:hint="default" w:ascii="Times New Roman" w:hAnsi="Times New Roman" w:cs="Times New Roman"/>
          <w:color w:val="auto"/>
          <w:kern w:val="2"/>
          <w:highlight w:val="none"/>
          <w:lang w:val="en-US" w:eastAsia="zh-CN"/>
        </w:rPr>
        <w:t>及</w:t>
      </w:r>
      <w:r>
        <w:rPr>
          <w:rFonts w:ascii="Times New Roman" w:hAnsi="Times New Roman" w:cs="Times New Roman"/>
          <w:color w:val="auto"/>
          <w:kern w:val="2"/>
          <w:highlight w:val="none"/>
        </w:rPr>
        <w:t>处理应符合下列规定：</w:t>
      </w:r>
    </w:p>
    <w:p w14:paraId="591934D7">
      <w:pPr>
        <w:pStyle w:val="125"/>
        <w:spacing w:before="0" w:beforeLines="0" w:after="0" w:afterLines="0" w:line="360" w:lineRule="auto"/>
        <w:ind w:firstLineChars="200"/>
        <w:rPr>
          <w:rFonts w:ascii="Times New Roman" w:hAnsi="Times New Roman" w:eastAsia="宋体" w:cs="Times New Roman"/>
          <w:color w:val="auto"/>
          <w:highlight w:val="none"/>
          <w:shd w:val="clear" w:color="000000" w:fill="FFFFFF"/>
        </w:rPr>
      </w:pPr>
      <w:r>
        <w:rPr>
          <w:rFonts w:hint="default" w:ascii="Times New Roman" w:hAnsi="Times New Roman" w:eastAsia="黑体" w:cs="Times New Roman"/>
          <w:bCs/>
          <w:color w:val="auto"/>
          <w:szCs w:val="21"/>
          <w:highlight w:val="none"/>
          <w:shd w:val="clear"/>
          <w:lang w:val="en-US" w:eastAsia="zh-CN"/>
        </w:rPr>
        <w:t xml:space="preserve">1  </w:t>
      </w:r>
      <w:r>
        <w:rPr>
          <w:rFonts w:hint="default" w:ascii="Times New Roman" w:hAnsi="Times New Roman" w:eastAsia="宋体" w:cs="Times New Roman"/>
          <w:color w:val="auto"/>
          <w:kern w:val="0"/>
          <w:highlight w:val="none"/>
          <w:shd w:val="clear" w:color="000000" w:fill="FFFFFF"/>
          <w:lang w:eastAsia="zh-CN"/>
        </w:rPr>
        <w:t>超高性能</w:t>
      </w:r>
      <w:r>
        <w:rPr>
          <w:rFonts w:hint="eastAsia" w:ascii="宋体" w:hAnsi="宋体" w:eastAsia="宋体" w:cs="宋体"/>
          <w:bCs/>
          <w:color w:val="auto"/>
          <w:kern w:val="0"/>
          <w:szCs w:val="21"/>
          <w:highlight w:val="none"/>
          <w:shd w:val="clear" w:color="000000" w:fill="FFFFFF"/>
          <w:lang w:eastAsia="zh-CN"/>
        </w:rPr>
        <w:t>混凝土</w:t>
      </w:r>
      <w:r>
        <w:rPr>
          <w:rFonts w:hint="default" w:ascii="Times New Roman" w:hAnsi="Times New Roman" w:eastAsia="宋体" w:cs="Times New Roman"/>
          <w:color w:val="auto"/>
          <w:highlight w:val="none"/>
          <w:shd w:val="clear" w:color="000000" w:fill="FFFFFF"/>
        </w:rPr>
        <w:t>毛细吸水率</w:t>
      </w:r>
      <w:r>
        <w:rPr>
          <w:rFonts w:ascii="Times New Roman" w:hAnsi="Times New Roman" w:eastAsia="宋体" w:cs="Times New Roman"/>
          <w:color w:val="auto"/>
          <w:kern w:val="0"/>
          <w:highlight w:val="none"/>
          <w:shd w:val="clear" w:color="000000" w:fill="FFFFFF"/>
        </w:rPr>
        <w:t>应按照下式计算：</w:t>
      </w:r>
    </w:p>
    <w:p w14:paraId="75895716">
      <w:pPr>
        <w:pStyle w:val="125"/>
        <w:numPr>
          <w:ilvl w:val="0"/>
          <w:numId w:val="21"/>
        </w:numPr>
        <w:kinsoku/>
        <w:overflowPunct/>
        <w:bidi w:val="0"/>
        <w:spacing w:line="360" w:lineRule="auto"/>
        <w:ind w:left="0" w:leftChars="0" w:firstLine="420" w:firstLineChars="200"/>
        <w:rPr>
          <w:rFonts w:ascii="Times New Roman" w:hAnsi="Times New Roman" w:eastAsia="宋体" w:cs="Times New Roman"/>
          <w:color w:val="auto"/>
          <w:highlight w:val="none"/>
          <w:shd w:val="clear" w:color="000000" w:fill="FFFFFF"/>
        </w:rPr>
      </w:pPr>
      <w:r>
        <w:rPr>
          <w:rFonts w:hint="eastAsia" w:ascii="Times New Roman" w:cs="Times New Roman"/>
          <w:color w:val="auto"/>
          <w:highlight w:val="none"/>
          <w:shd w:val="clear" w:color="000000" w:fill="FFFFFF"/>
          <w:lang w:eastAsia="zh"/>
        </w:rPr>
        <w:t>超高性能混凝土</w:t>
      </w:r>
      <w:r>
        <w:rPr>
          <w:rFonts w:hint="default" w:ascii="Times New Roman" w:hAnsi="Times New Roman" w:eastAsia="宋体" w:cs="Times New Roman"/>
          <w:color w:val="auto"/>
          <w:highlight w:val="none"/>
          <w:shd w:val="clear" w:color="000000" w:fill="FFFFFF"/>
        </w:rPr>
        <w:t>试件在吸水时间</w:t>
      </w:r>
      <w:r>
        <w:rPr>
          <w:rFonts w:ascii="Times New Roman" w:hAnsi="Times New Roman" w:eastAsia="宋体" w:cs="Times New Roman"/>
          <w:i w:val="0"/>
          <w:color w:val="auto"/>
          <w:highlight w:val="none"/>
          <w:shd w:val="clear" w:color="000000" w:fill="FFFFFF"/>
        </w:rPr>
        <w:t>t</w:t>
      </w:r>
      <w:r>
        <w:rPr>
          <w:rFonts w:hint="default" w:ascii="Times New Roman" w:hAnsi="Times New Roman" w:eastAsia="宋体" w:cs="Times New Roman"/>
          <w:color w:val="auto"/>
          <w:highlight w:val="none"/>
          <w:shd w:val="clear" w:color="000000" w:fill="FFFFFF"/>
        </w:rPr>
        <w:t>的毛细吸水率</w:t>
      </w:r>
      <w:r>
        <w:rPr>
          <w:rFonts w:ascii="Times New Roman" w:hAnsi="Times New Roman" w:eastAsia="宋体" w:cs="Times New Roman"/>
          <w:i w:val="0"/>
          <w:color w:val="auto"/>
          <w:highlight w:val="none"/>
          <w:shd w:val="clear" w:color="000000" w:fill="FFFFFF"/>
        </w:rPr>
        <w:t>I</w:t>
      </w:r>
      <w:r>
        <w:rPr>
          <w:rFonts w:ascii="Times New Roman" w:hAnsi="Times New Roman" w:eastAsia="宋体" w:cs="Times New Roman"/>
          <w:i w:val="0"/>
          <w:color w:val="auto"/>
          <w:highlight w:val="none"/>
          <w:shd w:val="clear" w:color="000000" w:fill="FFFFFF"/>
          <w:vertAlign w:val="subscript"/>
        </w:rPr>
        <w:t>t</w:t>
      </w:r>
      <w:r>
        <w:rPr>
          <w:rFonts w:hint="default" w:ascii="Times New Roman" w:hAnsi="Times New Roman" w:eastAsia="宋体" w:cs="Times New Roman"/>
          <w:color w:val="auto"/>
          <w:highlight w:val="none"/>
          <w:shd w:val="clear" w:color="000000" w:fill="FFFFFF"/>
        </w:rPr>
        <w:t>(</w:t>
      </w:r>
      <w:r>
        <w:rPr>
          <w:rFonts w:ascii="Times New Roman" w:hAnsi="Times New Roman" w:eastAsia="宋体" w:cs="Times New Roman"/>
          <w:color w:val="auto"/>
          <w:highlight w:val="none"/>
          <w:shd w:val="clear" w:color="000000" w:fill="FFFFFF"/>
        </w:rPr>
        <w:t>mm)</w:t>
      </w:r>
      <w:r>
        <w:rPr>
          <w:rFonts w:hint="default" w:ascii="Times New Roman" w:hAnsi="Times New Roman" w:eastAsia="宋体" w:cs="Times New Roman"/>
          <w:color w:val="auto"/>
          <w:highlight w:val="none"/>
          <w:shd w:val="clear" w:color="000000" w:fill="FFFFFF"/>
        </w:rPr>
        <w:t>应按式（</w:t>
      </w:r>
      <w:r>
        <w:rPr>
          <w:rFonts w:hint="default" w:ascii="Times New Roman" w:hAnsi="Times New Roman" w:cs="Times New Roman"/>
          <w:color w:val="auto"/>
          <w:highlight w:val="none"/>
          <w:shd w:val="clear" w:color="000000" w:fill="FFFFFF"/>
          <w:lang w:val="en-US" w:eastAsia="zh-CN"/>
        </w:rPr>
        <w:t>7.6.</w:t>
      </w:r>
      <w:r>
        <w:rPr>
          <w:rFonts w:hint="eastAsia" w:ascii="Times New Roman" w:cs="Times New Roman"/>
          <w:color w:val="auto"/>
          <w:highlight w:val="none"/>
          <w:shd w:val="clear" w:color="000000" w:fill="FFFFFF"/>
          <w:lang w:val="en-US" w:eastAsia="zh"/>
          <w:woUserID w:val="4"/>
        </w:rPr>
        <w:t>6</w:t>
      </w:r>
      <w:r>
        <w:rPr>
          <w:rFonts w:hint="default" w:ascii="Times New Roman" w:hAnsi="Times New Roman" w:cs="Times New Roman"/>
          <w:color w:val="auto"/>
          <w:highlight w:val="none"/>
          <w:shd w:val="clear" w:color="000000" w:fill="FFFFFF"/>
          <w:lang w:val="en-US" w:eastAsia="zh-CN"/>
        </w:rPr>
        <w:t>-</w:t>
      </w:r>
      <w:r>
        <w:rPr>
          <w:rFonts w:hint="default" w:ascii="Times New Roman" w:hAnsi="Times New Roman" w:eastAsia="宋体" w:cs="Times New Roman"/>
          <w:color w:val="auto"/>
          <w:highlight w:val="none"/>
          <w:shd w:val="clear" w:color="000000" w:fill="FFFFFF"/>
        </w:rPr>
        <w:t>1）计算。</w:t>
      </w:r>
    </w:p>
    <w:p w14:paraId="5DB0414C">
      <w:pPr>
        <w:pStyle w:val="130"/>
        <w:kinsoku/>
        <w:overflowPunct/>
        <w:bidi w:val="0"/>
        <w:adjustRightInd/>
        <w:spacing w:line="360" w:lineRule="auto"/>
        <w:rPr>
          <w:rFonts w:ascii="Times New Roman" w:hAnsi="Times New Roman" w:cs="Times New Roman"/>
          <w:color w:val="auto"/>
          <w:highlight w:val="none"/>
          <w:shd w:val="clear" w:color="000000" w:fill="FFFFFF"/>
        </w:rPr>
      </w:pPr>
      <w:r>
        <w:rPr>
          <w:rFonts w:ascii="Times New Roman" w:hAnsi="Times New Roman" w:cs="Times New Roman"/>
          <w:color w:val="auto"/>
          <w:highlight w:val="none"/>
          <w:shd w:val="clear" w:color="000000" w:fill="FFFFFF"/>
        </w:rPr>
        <w:tab/>
      </w:r>
      <m:oMath>
        <m:sSub>
          <m:sSubPr>
            <m:ctrlPr>
              <w:rPr>
                <w:rFonts w:ascii="Cambria Math" w:hAnsi="Cambria Math" w:cs="Times New Roman"/>
                <w:i/>
                <w:color w:val="auto"/>
                <w:highlight w:val="none"/>
                <w:shd w:val="clear" w:color="000000" w:fill="FFFFFF"/>
              </w:rPr>
            </m:ctrlPr>
          </m:sSubPr>
          <m:e>
            <m:r>
              <m:rPr/>
              <w:rPr>
                <w:rFonts w:hint="default" w:ascii="Cambria Math" w:hAnsi="Cambria Math" w:cs="Times New Roman"/>
                <w:color w:val="auto"/>
                <w:highlight w:val="none"/>
                <w:shd w:val="clear" w:color="000000" w:fill="FFFFFF"/>
              </w:rPr>
              <m:t>I</m:t>
            </m:r>
            <m:ctrlPr>
              <w:rPr>
                <w:rFonts w:ascii="Cambria Math" w:hAnsi="Cambria Math" w:cs="Times New Roman"/>
                <w:i/>
                <w:color w:val="auto"/>
                <w:highlight w:val="none"/>
                <w:shd w:val="clear" w:color="000000" w:fill="FFFFFF"/>
              </w:rPr>
            </m:ctrlPr>
          </m:e>
          <m:sub>
            <m:r>
              <m:rPr/>
              <w:rPr>
                <w:rFonts w:ascii="Cambria Math" w:hAnsi="Cambria Math" w:cs="Times New Roman"/>
                <w:color w:val="auto"/>
                <w:highlight w:val="none"/>
                <w:shd w:val="clear" w:color="000000" w:fill="FFFFFF"/>
              </w:rPr>
              <m:t>t</m:t>
            </m:r>
            <m:ctrlPr>
              <w:rPr>
                <w:rFonts w:ascii="Cambria Math" w:hAnsi="Cambria Math" w:cs="Times New Roman"/>
                <w:i/>
                <w:color w:val="auto"/>
                <w:highlight w:val="none"/>
                <w:shd w:val="clear" w:color="000000" w:fill="FFFFFF"/>
              </w:rPr>
            </m:ctrlPr>
          </m:sub>
        </m:sSub>
        <m:r>
          <m:rPr/>
          <w:rPr>
            <w:rFonts w:ascii="Cambria Math" w:hAnsi="Cambria Math" w:cs="Times New Roman"/>
            <w:color w:val="auto"/>
            <w:highlight w:val="none"/>
            <w:shd w:val="clear" w:color="000000" w:fill="FFFFFF"/>
          </w:rPr>
          <m:t>=</m:t>
        </m:r>
        <m:f>
          <m:fPr>
            <m:ctrlPr>
              <w:rPr>
                <w:rFonts w:ascii="Cambria Math" w:hAnsi="Cambria Math" w:cs="Times New Roman"/>
                <w:i/>
                <w:color w:val="auto"/>
                <w:highlight w:val="none"/>
                <w:shd w:val="clear" w:color="000000" w:fill="FFFFFF"/>
              </w:rPr>
            </m:ctrlPr>
          </m:fPr>
          <m:num>
            <m:sSub>
              <m:sSubPr>
                <m:ctrlPr>
                  <w:rPr>
                    <w:rFonts w:ascii="Cambria Math" w:hAnsi="Cambria Math" w:cs="Times New Roman"/>
                    <w:i/>
                    <w:color w:val="auto"/>
                    <w:highlight w:val="none"/>
                    <w:shd w:val="clear" w:color="000000" w:fill="FFFFFF"/>
                  </w:rPr>
                </m:ctrlPr>
              </m:sSubPr>
              <m:e>
                <m:r>
                  <m:rPr/>
                  <w:rPr>
                    <w:rFonts w:ascii="Cambria Math" w:hAnsi="Cambria Math" w:cs="Times New Roman"/>
                    <w:color w:val="auto"/>
                    <w:highlight w:val="none"/>
                    <w:shd w:val="clear" w:color="000000" w:fill="FFFFFF"/>
                  </w:rPr>
                  <m:t>m</m:t>
                </m:r>
                <m:ctrlPr>
                  <w:rPr>
                    <w:rFonts w:ascii="Cambria Math" w:hAnsi="Cambria Math" w:cs="Times New Roman"/>
                    <w:i/>
                    <w:color w:val="auto"/>
                    <w:highlight w:val="none"/>
                    <w:shd w:val="clear" w:color="000000" w:fill="FFFFFF"/>
                  </w:rPr>
                </m:ctrlPr>
              </m:e>
              <m:sub>
                <m:r>
                  <m:rPr/>
                  <w:rPr>
                    <w:rFonts w:ascii="Cambria Math" w:hAnsi="Cambria Math" w:cs="Times New Roman"/>
                    <w:color w:val="auto"/>
                    <w:highlight w:val="none"/>
                    <w:shd w:val="clear" w:color="000000" w:fill="FFFFFF"/>
                  </w:rPr>
                  <m:t>t</m:t>
                </m:r>
                <m:ctrlPr>
                  <w:rPr>
                    <w:rFonts w:hint="default" w:ascii="Cambria Math" w:hAnsi="Cambria Math" w:cs="Times New Roman"/>
                    <w:i/>
                    <w:color w:val="auto"/>
                    <w:highlight w:val="none"/>
                    <w:shd w:val="clear" w:color="000000" w:fill="FFFFFF"/>
                  </w:rPr>
                </m:ctrlPr>
              </m:sub>
            </m:sSub>
            <m:r>
              <m:rPr/>
              <w:rPr>
                <w:rFonts w:ascii="Cambria Math" w:hAnsi="Cambria Math" w:cs="Times New Roman"/>
                <w:color w:val="auto"/>
                <w:highlight w:val="none"/>
                <w:shd w:val="clear" w:color="000000" w:fill="FFFFFF"/>
              </w:rPr>
              <m:t>−</m:t>
            </m:r>
            <m:sSub>
              <m:sSubPr>
                <m:ctrlPr>
                  <w:rPr>
                    <w:rFonts w:ascii="Cambria Math" w:hAnsi="Cambria Math" w:cs="Times New Roman"/>
                    <w:i/>
                    <w:color w:val="auto"/>
                    <w:highlight w:val="none"/>
                    <w:shd w:val="clear" w:color="000000" w:fill="FFFFFF"/>
                  </w:rPr>
                </m:ctrlPr>
              </m:sSubPr>
              <m:e>
                <m:r>
                  <m:rPr/>
                  <w:rPr>
                    <w:rFonts w:ascii="Cambria Math" w:hAnsi="Cambria Math" w:cs="Times New Roman"/>
                    <w:color w:val="auto"/>
                    <w:highlight w:val="none"/>
                    <w:shd w:val="clear" w:color="000000" w:fill="FFFFFF"/>
                  </w:rPr>
                  <m:t>m</m:t>
                </m:r>
                <m:ctrlPr>
                  <w:rPr>
                    <w:rFonts w:ascii="Cambria Math" w:hAnsi="Cambria Math" w:cs="Times New Roman"/>
                    <w:i/>
                    <w:color w:val="auto"/>
                    <w:highlight w:val="none"/>
                    <w:shd w:val="clear" w:color="000000" w:fill="FFFFFF"/>
                  </w:rPr>
                </m:ctrlPr>
              </m:e>
              <m:sub>
                <m:r>
                  <m:rPr/>
                  <w:rPr>
                    <w:rFonts w:ascii="Cambria Math" w:hAnsi="Cambria Math" w:cs="Times New Roman"/>
                    <w:color w:val="auto"/>
                    <w:highlight w:val="none"/>
                    <w:shd w:val="clear" w:color="000000" w:fill="FFFFFF"/>
                  </w:rPr>
                  <m:t>0</m:t>
                </m:r>
                <m:ctrlPr>
                  <w:rPr>
                    <w:rFonts w:ascii="Cambria Math" w:hAnsi="Cambria Math" w:cs="Times New Roman"/>
                    <w:i/>
                    <w:color w:val="auto"/>
                    <w:highlight w:val="none"/>
                    <w:shd w:val="clear" w:color="000000" w:fill="FFFFFF"/>
                  </w:rPr>
                </m:ctrlPr>
              </m:sub>
            </m:sSub>
            <m:ctrlPr>
              <w:rPr>
                <w:rFonts w:ascii="Cambria Math" w:hAnsi="Cambria Math" w:cs="Times New Roman"/>
                <w:i/>
                <w:color w:val="auto"/>
                <w:highlight w:val="none"/>
                <w:shd w:val="clear" w:color="000000" w:fill="FFFFFF"/>
              </w:rPr>
            </m:ctrlPr>
          </m:num>
          <m:den>
            <m:r>
              <m:rPr/>
              <w:rPr>
                <w:rFonts w:ascii="Cambria Math" w:hAnsi="Cambria Math" w:cs="Times New Roman"/>
                <w:color w:val="auto"/>
                <w:highlight w:val="none"/>
                <w:shd w:val="clear" w:color="000000" w:fill="FFFFFF"/>
              </w:rPr>
              <m:t>A</m:t>
            </m:r>
            <m:sSub>
              <m:sSubPr>
                <m:ctrlPr>
                  <w:rPr>
                    <w:rFonts w:ascii="Cambria Math" w:hAnsi="Cambria Math" w:cs="Times New Roman"/>
                    <w:i/>
                    <w:color w:val="auto"/>
                    <w:highlight w:val="none"/>
                    <w:shd w:val="clear" w:color="000000" w:fill="FFFFFF"/>
                  </w:rPr>
                </m:ctrlPr>
              </m:sSubPr>
              <m:e>
                <m:r>
                  <m:rPr/>
                  <w:rPr>
                    <w:rFonts w:ascii="Cambria Math" w:hAnsi="Cambria Math" w:cs="Times New Roman"/>
                    <w:color w:val="auto"/>
                    <w:highlight w:val="none"/>
                    <w:shd w:val="clear" w:color="000000" w:fill="FFFFFF"/>
                  </w:rPr>
                  <m:t>ρ</m:t>
                </m:r>
                <m:ctrlPr>
                  <w:rPr>
                    <w:rFonts w:ascii="Cambria Math" w:hAnsi="Cambria Math" w:cs="Times New Roman"/>
                    <w:i/>
                    <w:color w:val="auto"/>
                    <w:highlight w:val="none"/>
                    <w:shd w:val="clear" w:color="000000" w:fill="FFFFFF"/>
                  </w:rPr>
                </m:ctrlPr>
              </m:e>
              <m:sub>
                <m:r>
                  <m:rPr>
                    <m:nor/>
                    <m:sty m:val="p"/>
                  </m:rPr>
                  <w:rPr>
                    <w:rFonts w:ascii="Cambria Math" w:hAnsi="Cambria Math" w:cs="Times New Roman"/>
                    <w:b w:val="0"/>
                    <w:i w:val="0"/>
                    <w:color w:val="auto"/>
                    <w:highlight w:val="none"/>
                    <w:shd w:val="clear" w:color="000000" w:fill="FFFFFF"/>
                  </w:rPr>
                  <m:t>w</m:t>
                </m:r>
                <m:ctrlPr>
                  <w:rPr>
                    <w:rFonts w:ascii="Cambria Math" w:hAnsi="Cambria Math" w:cs="Times New Roman"/>
                    <w:i/>
                    <w:color w:val="auto"/>
                    <w:highlight w:val="none"/>
                    <w:shd w:val="clear" w:color="000000" w:fill="FFFFFF"/>
                  </w:rPr>
                </m:ctrlPr>
              </m:sub>
            </m:sSub>
            <m:ctrlPr>
              <w:rPr>
                <w:rFonts w:ascii="Cambria Math" w:hAnsi="Cambria Math" w:cs="Times New Roman"/>
                <w:i/>
                <w:color w:val="auto"/>
                <w:highlight w:val="none"/>
                <w:shd w:val="clear" w:color="000000" w:fill="FFFFFF"/>
              </w:rPr>
            </m:ctrlPr>
          </m:den>
        </m:f>
      </m:oMath>
      <w:r>
        <w:rPr>
          <w:rFonts w:ascii="Times New Roman" w:hAnsi="Times New Roman" w:eastAsia="微软雅黑" w:cs="Times New Roman"/>
          <w:color w:val="auto"/>
          <w:highlight w:val="none"/>
          <w:shd w:val="clear" w:color="000000" w:fill="FFFFFF"/>
        </w:rPr>
        <w:tab/>
      </w:r>
      <w:r>
        <w:rPr>
          <w:rFonts w:ascii="Times New Roman" w:hAnsi="Times New Roman" w:cs="Times New Roman"/>
          <w:color w:val="auto"/>
          <w:highlight w:val="none"/>
          <w:shd w:val="clear" w:color="000000" w:fill="FFFFFF"/>
        </w:rPr>
        <w:t>(</w:t>
      </w:r>
      <w:r>
        <w:rPr>
          <w:rFonts w:hint="eastAsia" w:ascii="Times New Roman" w:hAnsi="Times New Roman" w:cs="Times New Roman"/>
          <w:color w:val="auto"/>
          <w:highlight w:val="none"/>
          <w:shd w:val="clear" w:color="000000" w:fill="FFFFFF"/>
          <w:lang w:val="en-US" w:eastAsia="zh-CN"/>
        </w:rPr>
        <w:t>7.7.</w:t>
      </w:r>
      <w:r>
        <w:rPr>
          <w:rFonts w:hint="eastAsia" w:ascii="Times New Roman" w:hAnsi="Times New Roman" w:cs="Times New Roman"/>
          <w:color w:val="auto"/>
          <w:highlight w:val="none"/>
          <w:shd w:val="clear" w:color="000000" w:fill="FFFFFF"/>
          <w:lang w:val="en-US" w:eastAsia="zh-CN"/>
          <w:woUserID w:val="4"/>
        </w:rPr>
        <w:t>7</w:t>
      </w:r>
      <w:r>
        <w:rPr>
          <w:rFonts w:hint="eastAsia" w:ascii="Times New Roman" w:hAnsi="Times New Roman" w:cs="Times New Roman"/>
          <w:color w:val="auto"/>
          <w:highlight w:val="none"/>
          <w:shd w:val="clear" w:color="000000" w:fill="FFFFFF"/>
          <w:lang w:val="en-US" w:eastAsia="zh-CN"/>
        </w:rPr>
        <w:t>-</w:t>
      </w:r>
      <w:r>
        <w:rPr>
          <w:rFonts w:ascii="Times New Roman" w:hAnsi="Times New Roman" w:cs="Times New Roman"/>
          <w:color w:val="auto"/>
          <w:highlight w:val="none"/>
          <w:shd w:val="clear" w:color="000000" w:fill="FFFFFF"/>
        </w:rPr>
        <w:t>1)</w:t>
      </w:r>
    </w:p>
    <w:p w14:paraId="3BE7CE5D">
      <w:pPr>
        <w:pStyle w:val="131"/>
        <w:kinsoku/>
        <w:overflowPunct/>
        <w:bidi w:val="0"/>
        <w:adjustRightInd/>
        <w:snapToGrid/>
        <w:spacing w:line="360" w:lineRule="auto"/>
        <w:ind w:left="630" w:leftChars="300" w:firstLine="0" w:firstLineChars="0"/>
        <w:rPr>
          <w:rFonts w:ascii="Times New Roman" w:hAnsi="Times New Roman" w:cs="Times New Roman"/>
          <w:color w:val="auto"/>
          <w:highlight w:val="none"/>
        </w:rPr>
      </w:pPr>
      <w:r>
        <w:rPr>
          <w:rFonts w:hint="default" w:ascii="Times New Roman" w:hAnsi="Times New Roman" w:cs="Times New Roman"/>
          <w:color w:val="auto"/>
          <w:highlight w:val="none"/>
        </w:rPr>
        <w:t>式中：</w:t>
      </w:r>
    </w:p>
    <w:p w14:paraId="6C72B5E1">
      <w:pPr>
        <w:shd w:val="clear" w:color="000000" w:fill="FFFFFF"/>
        <w:tabs>
          <w:tab w:val="left" w:pos="420"/>
        </w:tabs>
        <w:kinsoku/>
        <w:overflowPunct/>
        <w:bidi w:val="0"/>
        <w:adjustRightInd/>
        <w:spacing w:line="360" w:lineRule="auto"/>
        <w:ind w:left="630" w:leftChars="300" w:firstLine="0" w:firstLineChars="0"/>
        <w:jc w:val="left"/>
        <w:rPr>
          <w:rFonts w:ascii="Times New Roman" w:hAnsi="Times New Roman" w:cs="Times New Roman"/>
          <w:color w:val="auto"/>
          <w:highlight w:val="none"/>
          <w:shd w:val="clear" w:color="000000" w:fill="FFFFFF"/>
        </w:rPr>
      </w:pPr>
      <m:oMath>
        <m:sSub>
          <m:sSubPr>
            <m:ctrlPr>
              <w:rPr>
                <w:rFonts w:ascii="Cambria Math" w:hAnsi="Cambria Math" w:cs="Times New Roman"/>
                <w:bCs/>
                <w:i/>
                <w:color w:val="auto"/>
                <w:highlight w:val="none"/>
              </w:rPr>
            </m:ctrlPr>
          </m:sSubPr>
          <m:e>
            <m:r>
              <m:rPr/>
              <w:rPr>
                <w:rFonts w:hint="default" w:ascii="Cambria Math" w:hAnsi="Cambria Math" w:cs="Times New Roman"/>
                <w:color w:val="auto"/>
                <w:highlight w:val="none"/>
              </w:rPr>
              <m:t>I</m:t>
            </m:r>
            <m:ctrlPr>
              <w:rPr>
                <w:rFonts w:ascii="Cambria Math" w:hAnsi="Cambria Math" w:cs="Times New Roman"/>
                <w:bCs/>
                <w:i/>
                <w:color w:val="auto"/>
                <w:highlight w:val="none"/>
              </w:rPr>
            </m:ctrlPr>
          </m:e>
          <m:sub>
            <m:r>
              <m:rPr/>
              <w:rPr>
                <w:rFonts w:ascii="Cambria Math" w:hAnsi="Cambria Math" w:cs="Times New Roman"/>
                <w:color w:val="auto"/>
                <w:highlight w:val="none"/>
              </w:rPr>
              <m:t>t</m:t>
            </m:r>
            <m:ctrlPr>
              <w:rPr>
                <w:rFonts w:ascii="Cambria Math" w:hAnsi="Cambria Math" w:cs="Times New Roman"/>
                <w:bCs/>
                <w:i/>
                <w:color w:val="auto"/>
                <w:highlight w:val="none"/>
              </w:rPr>
            </m:ctrlPr>
          </m:sub>
        </m:sSub>
      </m:oMath>
      <w:r>
        <w:rPr>
          <w:rFonts w:ascii="Times New Roman" w:hAnsi="Times New Roman" w:cs="Times New Roman"/>
          <w:bCs/>
          <w:color w:val="auto"/>
          <w:highlight w:val="none"/>
        </w:rPr>
        <w:tab/>
      </w:r>
      <w:r>
        <w:rPr>
          <w:rFonts w:hint="default" w:ascii="Times New Roman" w:hAnsi="Times New Roman" w:cs="Times New Roman"/>
          <w:color w:val="auto"/>
          <w:highlight w:val="none"/>
          <w:shd w:val="clear" w:color="000000" w:fill="FFFFFF"/>
        </w:rPr>
        <w:t>——试件在吸水时间</w:t>
      </w:r>
      <w:r>
        <w:rPr>
          <w:rFonts w:ascii="Times New Roman" w:hAnsi="Times New Roman" w:cs="Times New Roman"/>
          <w:i/>
          <w:color w:val="auto"/>
          <w:highlight w:val="none"/>
          <w:shd w:val="clear" w:color="000000" w:fill="FFFFFF"/>
        </w:rPr>
        <w:t>t</w:t>
      </w:r>
      <w:r>
        <w:rPr>
          <w:rFonts w:hint="default" w:ascii="Times New Roman" w:hAnsi="Times New Roman" w:cs="Times New Roman"/>
          <w:color w:val="auto"/>
          <w:highlight w:val="none"/>
          <w:shd w:val="clear" w:color="000000" w:fill="FFFFFF"/>
        </w:rPr>
        <w:t>的毛细吸水率（mm）</w:t>
      </w:r>
      <w:r>
        <w:rPr>
          <w:rFonts w:hint="default" w:ascii="Times New Roman" w:hAnsi="Times New Roman" w:eastAsia="宋体" w:cs="Times New Roman"/>
          <w:color w:val="auto"/>
          <w:highlight w:val="none"/>
          <w:shd w:val="clear" w:color="000000" w:fill="FFFFFF"/>
        </w:rPr>
        <w:t>，</w:t>
      </w:r>
      <w:r>
        <w:rPr>
          <w:rFonts w:hint="default" w:ascii="Times New Roman" w:hAnsi="Times New Roman" w:cs="Times New Roman"/>
          <w:color w:val="auto"/>
          <w:highlight w:val="none"/>
          <w:shd w:val="clear" w:color="000000" w:fill="FFFFFF"/>
          <w:lang w:eastAsia="zh-CN"/>
        </w:rPr>
        <w:t>精确至</w:t>
      </w:r>
      <w:r>
        <w:rPr>
          <w:rFonts w:hint="default" w:ascii="Times New Roman" w:hAnsi="Times New Roman" w:eastAsia="宋体" w:cs="Times New Roman"/>
          <w:color w:val="auto"/>
          <w:highlight w:val="none"/>
          <w:shd w:val="clear" w:color="000000" w:fill="FFFFFF"/>
        </w:rPr>
        <w:t>0</w:t>
      </w:r>
      <w:r>
        <w:rPr>
          <w:rFonts w:ascii="Times New Roman" w:hAnsi="Times New Roman" w:eastAsia="宋体" w:cs="Times New Roman"/>
          <w:color w:val="auto"/>
          <w:highlight w:val="none"/>
          <w:shd w:val="clear" w:color="000000" w:fill="FFFFFF"/>
        </w:rPr>
        <w:t xml:space="preserve">.0001 </w:t>
      </w:r>
      <w:r>
        <w:rPr>
          <w:rFonts w:hint="default" w:ascii="Times New Roman" w:hAnsi="Times New Roman" w:eastAsia="宋体" w:cs="Times New Roman"/>
          <w:color w:val="auto"/>
          <w:highlight w:val="none"/>
          <w:shd w:val="clear" w:color="000000" w:fill="FFFFFF"/>
        </w:rPr>
        <w:t>mm</w:t>
      </w:r>
      <w:r>
        <w:rPr>
          <w:rFonts w:ascii="Times New Roman" w:hAnsi="Times New Roman" w:cs="Times New Roman"/>
          <w:color w:val="auto"/>
          <w:highlight w:val="none"/>
          <w:shd w:val="clear" w:color="000000" w:fill="FFFFFF"/>
        </w:rPr>
        <w:t>；</w:t>
      </w:r>
    </w:p>
    <w:p w14:paraId="23301156">
      <w:pPr>
        <w:shd w:val="clear" w:color="000000" w:fill="FFFFFF"/>
        <w:kinsoku/>
        <w:overflowPunct/>
        <w:bidi w:val="0"/>
        <w:adjustRightInd/>
        <w:spacing w:line="360" w:lineRule="auto"/>
        <w:ind w:left="630" w:leftChars="300" w:firstLine="0" w:firstLineChars="0"/>
        <w:jc w:val="left"/>
        <w:rPr>
          <w:rFonts w:ascii="Times New Roman" w:hAnsi="Times New Roman" w:cs="Times New Roman"/>
          <w:color w:val="auto"/>
          <w:highlight w:val="none"/>
          <w:shd w:val="clear" w:color="000000" w:fill="FFFFFF"/>
        </w:rPr>
      </w:pPr>
      <m:oMath>
        <m:sSub>
          <m:sSubPr>
            <m:ctrlPr>
              <w:rPr>
                <w:rFonts w:ascii="Cambria Math" w:hAnsi="Cambria Math" w:cs="Times New Roman"/>
                <w:bCs/>
                <w:i/>
                <w:color w:val="auto"/>
                <w:highlight w:val="none"/>
              </w:rPr>
            </m:ctrlPr>
          </m:sSubPr>
          <m:e>
            <m:r>
              <m:rPr/>
              <w:rPr>
                <w:rFonts w:ascii="Cambria Math" w:hAnsi="Cambria Math" w:cs="Times New Roman"/>
                <w:color w:val="auto"/>
                <w:highlight w:val="none"/>
              </w:rPr>
              <m:t>m</m:t>
            </m:r>
            <m:ctrlPr>
              <w:rPr>
                <w:rFonts w:hint="default" w:ascii="Cambria Math" w:hAnsi="Cambria Math" w:cs="Times New Roman"/>
                <w:bCs/>
                <w:i/>
                <w:color w:val="auto"/>
                <w:highlight w:val="none"/>
              </w:rPr>
            </m:ctrlPr>
          </m:e>
          <m:sub>
            <m:r>
              <m:rPr/>
              <w:rPr>
                <w:rFonts w:ascii="Cambria Math" w:hAnsi="Cambria Math" w:cs="Times New Roman"/>
                <w:color w:val="auto"/>
                <w:highlight w:val="none"/>
              </w:rPr>
              <m:t>t</m:t>
            </m:r>
            <m:ctrlPr>
              <w:rPr>
                <w:rFonts w:ascii="Cambria Math" w:hAnsi="Cambria Math" w:cs="Times New Roman"/>
                <w:bCs/>
                <w:i/>
                <w:color w:val="auto"/>
                <w:highlight w:val="none"/>
              </w:rPr>
            </m:ctrlPr>
          </m:sub>
        </m:sSub>
      </m:oMath>
      <w:r>
        <w:rPr>
          <w:rFonts w:ascii="Times New Roman" w:hAnsi="Times New Roman" w:cs="Times New Roman"/>
          <w:bCs/>
          <w:color w:val="auto"/>
          <w:highlight w:val="none"/>
        </w:rPr>
        <w:tab/>
      </w:r>
      <w:r>
        <w:rPr>
          <w:rFonts w:hint="default" w:ascii="Times New Roman" w:hAnsi="Times New Roman" w:cs="Times New Roman"/>
          <w:color w:val="auto"/>
          <w:highlight w:val="none"/>
          <w:shd w:val="clear" w:color="000000" w:fill="FFFFFF"/>
        </w:rPr>
        <w:t>——试件在吸水时间</w:t>
      </w:r>
      <w:r>
        <w:rPr>
          <w:rFonts w:ascii="Times New Roman" w:hAnsi="Times New Roman" w:cs="Times New Roman"/>
          <w:i/>
          <w:color w:val="auto"/>
          <w:highlight w:val="none"/>
          <w:shd w:val="clear" w:color="000000" w:fill="FFFFFF"/>
        </w:rPr>
        <w:t>t</w:t>
      </w:r>
      <w:r>
        <w:rPr>
          <w:rFonts w:hint="default" w:ascii="Times New Roman" w:hAnsi="Times New Roman" w:cs="Times New Roman"/>
          <w:color w:val="auto"/>
          <w:highlight w:val="none"/>
          <w:shd w:val="clear" w:color="000000" w:fill="FFFFFF"/>
        </w:rPr>
        <w:t>的质量（g）</w:t>
      </w:r>
      <w:r>
        <w:rPr>
          <w:rFonts w:ascii="Times New Roman" w:hAnsi="Times New Roman" w:cs="Times New Roman"/>
          <w:color w:val="auto"/>
          <w:highlight w:val="none"/>
          <w:shd w:val="clear" w:color="000000" w:fill="FFFFFF"/>
        </w:rPr>
        <w:t>；</w:t>
      </w:r>
    </w:p>
    <w:p w14:paraId="6B23121C">
      <w:pPr>
        <w:shd w:val="clear" w:color="000000" w:fill="FFFFFF"/>
        <w:kinsoku/>
        <w:overflowPunct/>
        <w:bidi w:val="0"/>
        <w:adjustRightInd/>
        <w:spacing w:line="360" w:lineRule="auto"/>
        <w:ind w:left="630" w:leftChars="300" w:firstLine="0" w:firstLineChars="0"/>
        <w:jc w:val="left"/>
        <w:rPr>
          <w:rFonts w:ascii="Times New Roman" w:hAnsi="Times New Roman" w:cs="Times New Roman"/>
          <w:color w:val="auto"/>
          <w:highlight w:val="none"/>
          <w:shd w:val="clear" w:color="000000" w:fill="FFFFFF"/>
        </w:rPr>
      </w:pPr>
      <m:oMath>
        <m:sSub>
          <m:sSubPr>
            <m:ctrlPr>
              <w:rPr>
                <w:rFonts w:ascii="Cambria Math" w:hAnsi="Cambria Math" w:cs="Times New Roman"/>
                <w:bCs/>
                <w:i/>
                <w:color w:val="auto"/>
                <w:highlight w:val="none"/>
              </w:rPr>
            </m:ctrlPr>
          </m:sSubPr>
          <m:e>
            <m:r>
              <m:rPr/>
              <w:rPr>
                <w:rFonts w:ascii="Cambria Math" w:hAnsi="Cambria Math" w:cs="Times New Roman"/>
                <w:color w:val="auto"/>
                <w:highlight w:val="none"/>
              </w:rPr>
              <m:t>m</m:t>
            </m:r>
            <m:ctrlPr>
              <w:rPr>
                <w:rFonts w:hint="default" w:ascii="Cambria Math" w:hAnsi="Cambria Math" w:cs="Times New Roman"/>
                <w:bCs/>
                <w:i/>
                <w:color w:val="auto"/>
                <w:highlight w:val="none"/>
              </w:rPr>
            </m:ctrlPr>
          </m:e>
          <m:sub>
            <m:r>
              <m:rPr>
                <m:nor/>
                <m:sty m:val="p"/>
              </m:rPr>
              <w:rPr>
                <w:rFonts w:ascii="Cambria Math" w:hAnsi="Cambria Math" w:cs="Times New Roman"/>
                <w:b w:val="0"/>
                <w:bCs/>
                <w:i w:val="0"/>
                <w:color w:val="auto"/>
                <w:highlight w:val="none"/>
              </w:rPr>
              <m:t>0</m:t>
            </m:r>
            <m:ctrlPr>
              <w:rPr>
                <w:rFonts w:ascii="Cambria Math" w:hAnsi="Cambria Math" w:cs="Times New Roman"/>
                <w:bCs/>
                <w:i/>
                <w:color w:val="auto"/>
                <w:highlight w:val="none"/>
              </w:rPr>
            </m:ctrlPr>
          </m:sub>
        </m:sSub>
      </m:oMath>
      <w:r>
        <w:rPr>
          <w:rFonts w:ascii="Times New Roman" w:hAnsi="Times New Roman" w:cs="Times New Roman"/>
          <w:bCs/>
          <w:color w:val="auto"/>
          <w:highlight w:val="none"/>
        </w:rPr>
        <w:tab/>
      </w:r>
      <w:r>
        <w:rPr>
          <w:rFonts w:hint="default" w:ascii="Times New Roman" w:hAnsi="Times New Roman" w:cs="Times New Roman"/>
          <w:color w:val="auto"/>
          <w:highlight w:val="none"/>
          <w:shd w:val="clear" w:color="000000" w:fill="FFFFFF"/>
        </w:rPr>
        <w:t>——</w:t>
      </w:r>
      <w:r>
        <w:rPr>
          <w:rFonts w:ascii="Times New Roman" w:hAnsi="Times New Roman" w:cs="Times New Roman"/>
          <w:color w:val="auto"/>
          <w:highlight w:val="none"/>
          <w:shd w:val="clear" w:color="000000" w:fill="FFFFFF"/>
        </w:rPr>
        <w:t>试件</w:t>
      </w:r>
      <w:r>
        <w:rPr>
          <w:rFonts w:hint="default" w:ascii="Times New Roman" w:hAnsi="Times New Roman" w:cs="Times New Roman"/>
          <w:color w:val="auto"/>
          <w:highlight w:val="none"/>
          <w:shd w:val="clear" w:color="000000" w:fill="FFFFFF"/>
        </w:rPr>
        <w:t>吸水前</w:t>
      </w:r>
      <w:r>
        <w:rPr>
          <w:rFonts w:ascii="Times New Roman" w:hAnsi="Times New Roman" w:cs="Times New Roman"/>
          <w:color w:val="auto"/>
          <w:highlight w:val="none"/>
          <w:shd w:val="clear" w:color="000000" w:fill="FFFFFF"/>
        </w:rPr>
        <w:t>的</w:t>
      </w:r>
      <w:r>
        <w:rPr>
          <w:rFonts w:hint="default" w:ascii="Times New Roman" w:hAnsi="Times New Roman" w:cs="Times New Roman"/>
          <w:color w:val="auto"/>
          <w:highlight w:val="none"/>
          <w:shd w:val="clear" w:color="000000" w:fill="FFFFFF"/>
        </w:rPr>
        <w:t>初始质量（g）</w:t>
      </w:r>
      <w:r>
        <w:rPr>
          <w:rFonts w:ascii="Times New Roman" w:hAnsi="Times New Roman" w:cs="Times New Roman"/>
          <w:color w:val="auto"/>
          <w:highlight w:val="none"/>
          <w:shd w:val="clear" w:color="000000" w:fill="FFFFFF"/>
        </w:rPr>
        <w:t>；</w:t>
      </w:r>
    </w:p>
    <w:p w14:paraId="5B80D282">
      <w:pPr>
        <w:shd w:val="clear" w:color="000000" w:fill="FFFFFF"/>
        <w:kinsoku/>
        <w:overflowPunct/>
        <w:bidi w:val="0"/>
        <w:adjustRightInd/>
        <w:spacing w:line="360" w:lineRule="auto"/>
        <w:ind w:left="630" w:leftChars="300" w:firstLine="0" w:firstLineChars="0"/>
        <w:jc w:val="left"/>
        <w:rPr>
          <w:rFonts w:ascii="Times New Roman" w:hAnsi="Times New Roman" w:cs="Times New Roman" w:eastAsiaTheme="minorEastAsia"/>
          <w:color w:val="auto"/>
          <w:highlight w:val="none"/>
          <w:shd w:val="clear" w:color="000000" w:fill="FFFFFF"/>
        </w:rPr>
      </w:pPr>
      <w:r>
        <w:rPr>
          <w:rFonts w:ascii="Times New Roman" w:hAnsi="Times New Roman" w:cs="Times New Roman"/>
          <w:i/>
          <w:color w:val="auto"/>
          <w:highlight w:val="none"/>
          <w:shd w:val="clear" w:color="000000" w:fill="FFFFFF"/>
        </w:rPr>
        <w:t>A</w:t>
      </w:r>
      <w:r>
        <w:rPr>
          <w:rFonts w:ascii="Times New Roman" w:hAnsi="Times New Roman" w:cs="Times New Roman"/>
          <w:i/>
          <w:color w:val="auto"/>
          <w:highlight w:val="none"/>
          <w:shd w:val="clear" w:color="000000" w:fill="FFFFFF"/>
        </w:rPr>
        <w:tab/>
      </w:r>
      <w:r>
        <w:rPr>
          <w:rFonts w:hint="eastAsia" w:ascii="Times New Roman" w:hAnsi="Times New Roman" w:cs="Times New Roman"/>
          <w:i/>
          <w:color w:val="auto"/>
          <w:highlight w:val="none"/>
          <w:shd w:val="clear" w:color="000000" w:fill="FFFFFF"/>
          <w:lang w:val="en-US" w:eastAsia="zh-CN"/>
        </w:rPr>
        <w:t xml:space="preserve">    </w:t>
      </w:r>
      <w:r>
        <w:rPr>
          <w:rFonts w:hint="default" w:ascii="Times New Roman" w:hAnsi="Times New Roman" w:cs="Times New Roman"/>
          <w:color w:val="auto"/>
          <w:highlight w:val="none"/>
          <w:shd w:val="clear" w:color="000000" w:fill="FFFFFF"/>
        </w:rPr>
        <w:t>——试件吸水面的面积（mm</w:t>
      </w:r>
      <w:r>
        <w:rPr>
          <w:rFonts w:ascii="Times New Roman" w:hAnsi="Times New Roman" w:cs="Times New Roman"/>
          <w:color w:val="auto"/>
          <w:highlight w:val="none"/>
          <w:shd w:val="clear" w:color="000000" w:fill="FFFFFF"/>
          <w:vertAlign w:val="superscript"/>
        </w:rPr>
        <w:t>2</w:t>
      </w:r>
      <w:r>
        <w:rPr>
          <w:rFonts w:hint="default" w:ascii="Times New Roman" w:hAnsi="Times New Roman" w:cs="Times New Roman"/>
          <w:color w:val="auto"/>
          <w:highlight w:val="none"/>
          <w:shd w:val="clear" w:color="000000" w:fill="FFFFFF"/>
        </w:rPr>
        <w:t>）；</w:t>
      </w:r>
    </w:p>
    <w:p w14:paraId="05C82F41">
      <w:pPr>
        <w:shd w:val="clear" w:color="000000" w:fill="FFFFFF"/>
        <w:kinsoku/>
        <w:overflowPunct/>
        <w:bidi w:val="0"/>
        <w:adjustRightInd/>
        <w:spacing w:line="360" w:lineRule="auto"/>
        <w:ind w:left="630" w:leftChars="300" w:firstLine="0" w:firstLineChars="0"/>
        <w:jc w:val="left"/>
        <w:rPr>
          <w:rFonts w:ascii="Times New Roman" w:hAnsi="Times New Roman" w:cs="Times New Roman"/>
          <w:color w:val="auto"/>
          <w:highlight w:val="none"/>
          <w:shd w:val="clear" w:color="000000" w:fill="FFFFFF"/>
        </w:rPr>
      </w:pPr>
      <m:oMath>
        <m:sSub>
          <m:sSubPr>
            <m:ctrlPr>
              <w:rPr>
                <w:rFonts w:ascii="Cambria Math" w:hAnsi="Cambria Math" w:cs="Times New Roman"/>
                <w:bCs/>
                <w:i/>
                <w:color w:val="auto"/>
                <w:highlight w:val="none"/>
              </w:rPr>
            </m:ctrlPr>
          </m:sSubPr>
          <m:e>
            <m:r>
              <m:rPr/>
              <w:rPr>
                <w:rFonts w:ascii="Cambria Math" w:hAnsi="Cambria Math" w:cs="Times New Roman"/>
                <w:color w:val="auto"/>
                <w:highlight w:val="none"/>
              </w:rPr>
              <m:t>ρ</m:t>
            </m:r>
            <m:ctrlPr>
              <w:rPr>
                <w:rFonts w:hint="default" w:ascii="Cambria Math" w:hAnsi="Cambria Math" w:cs="Times New Roman"/>
                <w:bCs/>
                <w:i/>
                <w:color w:val="auto"/>
                <w:highlight w:val="none"/>
              </w:rPr>
            </m:ctrlPr>
          </m:e>
          <m:sub>
            <m:r>
              <m:rPr>
                <m:nor/>
                <m:sty m:val="p"/>
              </m:rPr>
              <w:rPr>
                <w:rFonts w:hint="default" w:ascii="Cambria Math" w:hAnsi="Cambria Math" w:cs="Times New Roman"/>
                <w:b w:val="0"/>
                <w:bCs/>
                <w:i w:val="0"/>
                <w:color w:val="auto"/>
                <w:highlight w:val="none"/>
              </w:rPr>
              <m:t>w</m:t>
            </m:r>
            <m:ctrlPr>
              <w:rPr>
                <w:rFonts w:ascii="Cambria Math" w:hAnsi="Cambria Math" w:cs="Times New Roman"/>
                <w:bCs/>
                <w:i/>
                <w:color w:val="auto"/>
                <w:highlight w:val="none"/>
              </w:rPr>
            </m:ctrlPr>
          </m:sub>
        </m:sSub>
      </m:oMath>
      <w:r>
        <w:rPr>
          <w:rFonts w:ascii="Times New Roman" w:hAnsi="Times New Roman" w:cs="Times New Roman"/>
          <w:bCs/>
          <w:color w:val="auto"/>
          <w:highlight w:val="none"/>
        </w:rPr>
        <w:tab/>
      </w:r>
      <w:r>
        <w:rPr>
          <w:rFonts w:hint="default" w:ascii="Times New Roman" w:hAnsi="Times New Roman" w:cs="Times New Roman"/>
          <w:color w:val="auto"/>
          <w:highlight w:val="none"/>
          <w:shd w:val="clear" w:color="000000" w:fill="FFFFFF"/>
        </w:rPr>
        <w:t>——水的密度，取值为0</w:t>
      </w:r>
      <w:r>
        <w:rPr>
          <w:rFonts w:ascii="Times New Roman" w:hAnsi="Times New Roman" w:cs="Times New Roman"/>
          <w:color w:val="auto"/>
          <w:highlight w:val="none"/>
          <w:shd w:val="clear" w:color="000000" w:fill="FFFFFF"/>
        </w:rPr>
        <w:t xml:space="preserve">.001 </w:t>
      </w:r>
      <w:r>
        <w:rPr>
          <w:rFonts w:hint="default" w:ascii="Times New Roman" w:hAnsi="Times New Roman" w:cs="Times New Roman"/>
          <w:color w:val="auto"/>
          <w:highlight w:val="none"/>
          <w:shd w:val="clear" w:color="000000" w:fill="FFFFFF"/>
        </w:rPr>
        <w:t>g</w:t>
      </w:r>
      <w:r>
        <w:rPr>
          <w:rFonts w:ascii="Times New Roman" w:hAnsi="Times New Roman" w:cs="Times New Roman"/>
          <w:color w:val="auto"/>
          <w:highlight w:val="none"/>
          <w:shd w:val="clear" w:color="000000" w:fill="FFFFFF"/>
        </w:rPr>
        <w:t>/mm</w:t>
      </w:r>
      <w:r>
        <w:rPr>
          <w:rFonts w:ascii="Times New Roman" w:hAnsi="Times New Roman" w:cs="Times New Roman"/>
          <w:color w:val="auto"/>
          <w:highlight w:val="none"/>
          <w:shd w:val="clear" w:color="000000" w:fill="FFFFFF"/>
          <w:vertAlign w:val="superscript"/>
        </w:rPr>
        <w:t>3</w:t>
      </w:r>
      <w:r>
        <w:rPr>
          <w:rFonts w:ascii="Times New Roman" w:hAnsi="Times New Roman" w:cs="Times New Roman"/>
          <w:color w:val="auto"/>
          <w:highlight w:val="none"/>
          <w:shd w:val="clear" w:color="000000" w:fill="FFFFFF"/>
        </w:rPr>
        <w:t>。</w:t>
      </w:r>
    </w:p>
    <w:p w14:paraId="2C718D7A">
      <w:pPr>
        <w:pStyle w:val="125"/>
        <w:numPr>
          <w:ilvl w:val="0"/>
          <w:numId w:val="21"/>
        </w:numPr>
        <w:kinsoku/>
        <w:overflowPunct/>
        <w:bidi w:val="0"/>
        <w:spacing w:line="360" w:lineRule="auto"/>
        <w:ind w:left="0" w:leftChars="0" w:firstLine="420" w:firstLineChars="200"/>
        <w:rPr>
          <w:rFonts w:ascii="Times New Roman"/>
          <w:color w:val="auto"/>
          <w:highlight w:val="none"/>
          <w:shd w:val="clear" w:color="000000" w:fill="FFFFFF"/>
        </w:rPr>
      </w:pPr>
      <w:r>
        <w:rPr>
          <w:rFonts w:hint="eastAsia" w:ascii="Times New Roman"/>
          <w:color w:val="auto"/>
          <w:highlight w:val="none"/>
          <w:shd w:val="clear" w:color="000000" w:fill="FFFFFF"/>
          <w:lang w:val="en-US" w:eastAsia="zh-CN"/>
        </w:rPr>
        <w:t>超高性能混凝土的毛细吸水速率应以初始毛细吸水速率表示。</w:t>
      </w:r>
      <w:r>
        <w:rPr>
          <w:rFonts w:hint="default" w:ascii="Times New Roman" w:hAnsi="Times New Roman" w:eastAsia="宋体" w:cs="Times New Roman"/>
          <w:color w:val="auto"/>
          <w:highlight w:val="none"/>
          <w:shd w:val="clear" w:color="000000" w:fill="FFFFFF"/>
        </w:rPr>
        <w:t>按式（</w:t>
      </w:r>
      <w:r>
        <w:rPr>
          <w:rFonts w:hint="default" w:ascii="Times New Roman" w:hAnsi="Times New Roman" w:cs="Times New Roman"/>
          <w:color w:val="auto"/>
          <w:highlight w:val="none"/>
          <w:shd w:val="clear" w:color="000000" w:fill="FFFFFF"/>
          <w:lang w:val="en-US" w:eastAsia="zh-CN"/>
        </w:rPr>
        <w:t>7.6.</w:t>
      </w:r>
      <w:r>
        <w:rPr>
          <w:rFonts w:hint="eastAsia" w:ascii="Times New Roman" w:cs="Times New Roman"/>
          <w:color w:val="auto"/>
          <w:highlight w:val="none"/>
          <w:shd w:val="clear" w:color="000000" w:fill="FFFFFF"/>
          <w:lang w:val="en-US" w:eastAsia="zh"/>
          <w:woUserID w:val="4"/>
        </w:rPr>
        <w:t>6</w:t>
      </w:r>
      <w:r>
        <w:rPr>
          <w:rFonts w:hint="default" w:ascii="Times New Roman" w:hAnsi="Times New Roman" w:cs="Times New Roman"/>
          <w:color w:val="auto"/>
          <w:highlight w:val="none"/>
          <w:shd w:val="clear" w:color="000000" w:fill="FFFFFF"/>
          <w:lang w:val="en-US" w:eastAsia="zh-CN"/>
        </w:rPr>
        <w:t>-</w:t>
      </w:r>
      <w:r>
        <w:rPr>
          <w:rFonts w:hint="default" w:ascii="Times New Roman" w:hAnsi="Times New Roman" w:eastAsia="宋体" w:cs="Times New Roman"/>
          <w:color w:val="auto"/>
          <w:highlight w:val="none"/>
          <w:shd w:val="clear" w:color="000000" w:fill="FFFFFF"/>
        </w:rPr>
        <w:t>2）对</w:t>
      </w:r>
      <w:r>
        <w:rPr>
          <w:rFonts w:hint="eastAsia" w:ascii="Times New Roman"/>
          <w:color w:val="auto"/>
          <w:highlight w:val="none"/>
          <w:shd w:val="clear" w:color="000000" w:fill="FFFFFF"/>
          <w:lang w:eastAsia="zh"/>
        </w:rPr>
        <w:t>超高性能混凝土</w:t>
      </w:r>
      <w:r>
        <w:rPr>
          <w:rFonts w:hint="default" w:ascii="Times New Roman"/>
          <w:color w:val="auto"/>
          <w:highlight w:val="none"/>
          <w:shd w:val="clear" w:color="000000" w:fill="FFFFFF"/>
        </w:rPr>
        <w:t>试件初期的毛细吸水率</w:t>
      </w:r>
      <w:r>
        <w:rPr>
          <w:rFonts w:ascii="Times New Roman"/>
          <w:i/>
          <w:color w:val="auto"/>
          <w:highlight w:val="none"/>
          <w:shd w:val="clear" w:color="000000" w:fill="FFFFFF"/>
        </w:rPr>
        <w:t>I</w:t>
      </w:r>
      <w:r>
        <w:rPr>
          <w:rFonts w:ascii="Times New Roman"/>
          <w:i/>
          <w:color w:val="auto"/>
          <w:highlight w:val="none"/>
          <w:shd w:val="clear" w:color="000000" w:fill="FFFFFF"/>
          <w:vertAlign w:val="subscript"/>
        </w:rPr>
        <w:t>t</w:t>
      </w:r>
      <w:r>
        <w:rPr>
          <w:rFonts w:hint="eastAsia" w:ascii="Times New Roman"/>
          <w:color w:val="auto"/>
          <w:highlight w:val="none"/>
          <w:shd w:val="clear" w:color="000000" w:fill="FFFFFF"/>
        </w:rPr>
        <w:t>与吸水时间算术平方根</w:t>
      </w:r>
      <w:r>
        <w:rPr>
          <w:rFonts w:hint="eastAsia" w:ascii="Times New Roman"/>
          <w:i/>
          <w:color w:val="auto"/>
          <w:highlight w:val="none"/>
          <w:shd w:val="clear" w:color="000000" w:fill="FFFFFF"/>
        </w:rPr>
        <w:t>t</w:t>
      </w:r>
      <w:r>
        <w:rPr>
          <w:rFonts w:ascii="Times New Roman"/>
          <w:color w:val="auto"/>
          <w:highlight w:val="none"/>
          <w:shd w:val="clear" w:color="000000" w:fill="FFFFFF"/>
          <w:vertAlign w:val="superscript"/>
        </w:rPr>
        <w:t>0.5</w:t>
      </w:r>
      <w:r>
        <w:rPr>
          <w:rFonts w:hint="eastAsia" w:ascii="Times New Roman"/>
          <w:color w:val="auto"/>
          <w:highlight w:val="none"/>
          <w:shd w:val="clear" w:color="000000" w:fill="FFFFFF"/>
        </w:rPr>
        <w:t>的关系</w:t>
      </w:r>
      <w:r>
        <w:rPr>
          <w:rFonts w:hint="default" w:ascii="Times New Roman"/>
          <w:color w:val="auto"/>
          <w:highlight w:val="none"/>
          <w:shd w:val="clear" w:color="000000" w:fill="FFFFFF"/>
        </w:rPr>
        <w:t>进行最小二乘线性拟合，所得斜率为初始毛细吸水速率</w:t>
      </w:r>
      <w:r>
        <w:rPr>
          <w:rFonts w:ascii="Times New Roman"/>
          <w:i/>
          <w:color w:val="auto"/>
          <w:highlight w:val="none"/>
          <w:shd w:val="clear" w:color="000000" w:fill="FFFFFF"/>
        </w:rPr>
        <w:t>S</w:t>
      </w:r>
      <w:r>
        <w:rPr>
          <w:rFonts w:ascii="Times New Roman"/>
          <w:color w:val="auto"/>
          <w:highlight w:val="none"/>
          <w:shd w:val="clear" w:color="000000" w:fill="FFFFFF"/>
          <w:vertAlign w:val="subscript"/>
        </w:rPr>
        <w:t>1</w:t>
      </w:r>
      <w:r>
        <w:rPr>
          <w:rFonts w:hint="default" w:ascii="Times New Roman"/>
          <w:color w:val="auto"/>
          <w:highlight w:val="none"/>
          <w:shd w:val="clear" w:color="000000" w:fill="FFFFFF"/>
        </w:rPr>
        <w:t>。</w:t>
      </w:r>
    </w:p>
    <w:p w14:paraId="7134D768">
      <w:pPr>
        <w:pStyle w:val="130"/>
        <w:kinsoku/>
        <w:overflowPunct/>
        <w:bidi w:val="0"/>
        <w:adjustRightInd/>
        <w:spacing w:line="360" w:lineRule="auto"/>
        <w:rPr>
          <w:rFonts w:ascii="Times New Roman" w:hAnsi="Times New Roman" w:cs="Times New Roman"/>
          <w:color w:val="auto"/>
          <w:highlight w:val="none"/>
          <w:shd w:val="clear" w:color="000000" w:fill="FFFFFF"/>
        </w:rPr>
      </w:pPr>
      <w:r>
        <w:rPr>
          <w:rFonts w:ascii="Times New Roman" w:hAnsi="Times New Roman" w:cs="Times New Roman"/>
          <w:color w:val="auto"/>
          <w:highlight w:val="none"/>
          <w:shd w:val="clear" w:color="000000" w:fill="FFFFFF"/>
        </w:rPr>
        <w:tab/>
      </w:r>
      <m:oMath>
        <m:sSub>
          <m:sSubPr>
            <m:ctrlPr>
              <w:rPr>
                <w:rFonts w:ascii="Cambria Math" w:hAnsi="Cambria Math" w:cs="Times New Roman"/>
                <w:i/>
                <w:iCs/>
                <w:color w:val="auto"/>
                <w:highlight w:val="none"/>
                <w:shd w:val="clear" w:color="000000" w:fill="FFFFFF"/>
              </w:rPr>
            </m:ctrlPr>
          </m:sSubPr>
          <m:e>
            <m:r>
              <m:rPr/>
              <w:rPr>
                <w:rFonts w:ascii="Cambria Math" w:hAnsi="Cambria Math" w:cs="Times New Roman"/>
                <w:color w:val="auto"/>
                <w:highlight w:val="none"/>
                <w:shd w:val="clear" w:color="000000" w:fill="FFFFFF"/>
              </w:rPr>
              <m:t>I</m:t>
            </m:r>
            <m:ctrlPr>
              <w:rPr>
                <w:rFonts w:ascii="Cambria Math" w:hAnsi="Cambria Math" w:cs="Times New Roman"/>
                <w:i/>
                <w:iCs/>
                <w:color w:val="auto"/>
                <w:highlight w:val="none"/>
                <w:shd w:val="clear" w:color="000000" w:fill="FFFFFF"/>
              </w:rPr>
            </m:ctrlPr>
          </m:e>
          <m:sub>
            <m:r>
              <m:rPr/>
              <w:rPr>
                <w:rFonts w:ascii="Cambria Math" w:hAnsi="Cambria Math" w:cs="Times New Roman"/>
                <w:color w:val="auto"/>
                <w:highlight w:val="none"/>
                <w:shd w:val="clear" w:color="000000" w:fill="FFFFFF"/>
              </w:rPr>
              <m:t>t</m:t>
            </m:r>
            <m:ctrlPr>
              <w:rPr>
                <w:rFonts w:ascii="Cambria Math" w:hAnsi="Cambria Math" w:cs="Times New Roman"/>
                <w:i/>
                <w:iCs/>
                <w:color w:val="auto"/>
                <w:highlight w:val="none"/>
                <w:shd w:val="clear" w:color="000000" w:fill="FFFFFF"/>
              </w:rPr>
            </m:ctrlPr>
          </m:sub>
        </m:sSub>
        <m:r>
          <m:rPr>
            <m:sty m:val="p"/>
          </m:rPr>
          <w:rPr>
            <w:rFonts w:ascii="Cambria Math" w:hAnsi="Cambria Math" w:cs="Times New Roman"/>
            <w:color w:val="auto"/>
            <w:highlight w:val="none"/>
            <w:shd w:val="clear" w:color="000000" w:fill="FFFFFF"/>
          </w:rPr>
          <m:t>=</m:t>
        </m:r>
        <m:sSub>
          <m:sSubPr>
            <m:ctrlPr>
              <w:rPr>
                <w:rFonts w:ascii="Cambria Math" w:hAnsi="Cambria Math" w:cs="Times New Roman"/>
                <w:color w:val="auto"/>
                <w:highlight w:val="none"/>
                <w:shd w:val="clear" w:color="000000" w:fill="FFFFFF"/>
              </w:rPr>
            </m:ctrlPr>
          </m:sSubPr>
          <m:e>
            <m:r>
              <m:rPr/>
              <w:rPr>
                <w:rFonts w:ascii="Cambria Math" w:hAnsi="Cambria Math" w:cs="Times New Roman"/>
                <w:color w:val="auto"/>
                <w:highlight w:val="none"/>
                <w:shd w:val="clear" w:color="000000" w:fill="FFFFFF"/>
              </w:rPr>
              <m:t>S</m:t>
            </m:r>
            <m:ctrlPr>
              <w:rPr>
                <w:rFonts w:hint="default" w:ascii="Cambria Math" w:hAnsi="Cambria Math" w:cs="Times New Roman"/>
                <w:color w:val="auto"/>
                <w:highlight w:val="none"/>
                <w:shd w:val="clear" w:color="000000" w:fill="FFFFFF"/>
              </w:rPr>
            </m:ctrlPr>
          </m:e>
          <m:sub>
            <m:r>
              <m:rPr/>
              <w:rPr>
                <w:rFonts w:ascii="Cambria Math" w:hAnsi="Cambria Math" w:cs="Times New Roman"/>
                <w:color w:val="auto"/>
                <w:highlight w:val="none"/>
                <w:shd w:val="clear" w:color="000000" w:fill="FFFFFF"/>
              </w:rPr>
              <m:t>1</m:t>
            </m:r>
            <m:ctrlPr>
              <w:rPr>
                <w:rFonts w:ascii="Cambria Math" w:hAnsi="Cambria Math" w:cs="Times New Roman"/>
                <w:color w:val="auto"/>
                <w:highlight w:val="none"/>
                <w:shd w:val="clear" w:color="000000" w:fill="FFFFFF"/>
              </w:rPr>
            </m:ctrlPr>
          </m:sub>
        </m:sSub>
        <m:rad>
          <m:radPr>
            <m:degHide m:val="1"/>
            <m:ctrlPr>
              <w:rPr>
                <w:rFonts w:ascii="Cambria Math" w:hAnsi="Cambria Math" w:cs="Times New Roman"/>
                <w:i/>
                <w:color w:val="auto"/>
                <w:highlight w:val="none"/>
                <w:shd w:val="clear" w:color="000000" w:fill="FFFFFF"/>
              </w:rPr>
            </m:ctrlPr>
          </m:radPr>
          <m:deg>
            <m:ctrlPr>
              <w:rPr>
                <w:rFonts w:ascii="Cambria Math" w:hAnsi="Cambria Math" w:cs="Times New Roman"/>
                <w:i/>
                <w:color w:val="auto"/>
                <w:highlight w:val="none"/>
                <w:shd w:val="clear" w:color="000000" w:fill="FFFFFF"/>
              </w:rPr>
            </m:ctrlPr>
          </m:deg>
          <m:e>
            <m:r>
              <m:rPr/>
              <w:rPr>
                <w:rFonts w:ascii="Cambria Math" w:hAnsi="Cambria Math" w:cs="Times New Roman"/>
                <w:color w:val="auto"/>
                <w:highlight w:val="none"/>
                <w:shd w:val="clear" w:color="000000" w:fill="FFFFFF"/>
              </w:rPr>
              <m:t>t</m:t>
            </m:r>
            <m:ctrlPr>
              <w:rPr>
                <w:rFonts w:ascii="Cambria Math" w:hAnsi="Cambria Math" w:cs="Times New Roman"/>
                <w:i/>
                <w:color w:val="auto"/>
                <w:highlight w:val="none"/>
                <w:shd w:val="clear" w:color="000000" w:fill="FFFFFF"/>
              </w:rPr>
            </m:ctrlPr>
          </m:e>
        </m:rad>
        <m:r>
          <m:rPr/>
          <w:rPr>
            <w:rFonts w:ascii="Cambria Math" w:hAnsi="Cambria Math" w:cs="Times New Roman"/>
            <w:color w:val="auto"/>
            <w:highlight w:val="none"/>
            <w:shd w:val="clear" w:color="000000" w:fill="FFFFFF"/>
          </w:rPr>
          <m:t>+</m:t>
        </m:r>
        <m:sSub>
          <m:sSubPr>
            <m:ctrlPr>
              <w:rPr>
                <w:rFonts w:ascii="Cambria Math" w:hAnsi="Cambria Math" w:cs="Times New Roman"/>
                <w:i/>
                <w:color w:val="auto"/>
                <w:highlight w:val="none"/>
                <w:shd w:val="clear" w:color="000000" w:fill="FFFFFF"/>
              </w:rPr>
            </m:ctrlPr>
          </m:sSubPr>
          <m:e>
            <m:r>
              <m:rPr/>
              <w:rPr>
                <w:rFonts w:ascii="Cambria Math" w:hAnsi="Cambria Math" w:cs="Times New Roman"/>
                <w:color w:val="auto"/>
                <w:highlight w:val="none"/>
                <w:shd w:val="clear" w:color="000000" w:fill="FFFFFF"/>
              </w:rPr>
              <m:t>b</m:t>
            </m:r>
            <m:ctrlPr>
              <w:rPr>
                <w:rFonts w:hint="default" w:ascii="Cambria Math" w:hAnsi="Cambria Math" w:cs="Times New Roman"/>
                <w:i/>
                <w:color w:val="auto"/>
                <w:highlight w:val="none"/>
                <w:shd w:val="clear" w:color="000000" w:fill="FFFFFF"/>
              </w:rPr>
            </m:ctrlPr>
          </m:e>
          <m:sub>
            <m:r>
              <m:rPr/>
              <w:rPr>
                <w:rFonts w:ascii="Cambria Math" w:hAnsi="Cambria Math" w:cs="Times New Roman"/>
                <w:color w:val="auto"/>
                <w:highlight w:val="none"/>
                <w:shd w:val="clear" w:color="000000" w:fill="FFFFFF"/>
              </w:rPr>
              <m:t>1</m:t>
            </m:r>
            <m:ctrlPr>
              <w:rPr>
                <w:rFonts w:ascii="Cambria Math" w:hAnsi="Cambria Math" w:cs="Times New Roman"/>
                <w:i/>
                <w:color w:val="auto"/>
                <w:highlight w:val="none"/>
                <w:shd w:val="clear" w:color="000000" w:fill="FFFFFF"/>
              </w:rPr>
            </m:ctrlPr>
          </m:sub>
        </m:sSub>
      </m:oMath>
      <w:r>
        <w:rPr>
          <w:rFonts w:ascii="Times New Roman" w:hAnsi="Times New Roman" w:eastAsia="微软雅黑" w:cs="Times New Roman"/>
          <w:color w:val="auto"/>
          <w:highlight w:val="none"/>
          <w:shd w:val="clear" w:color="000000" w:fill="FFFFFF"/>
        </w:rPr>
        <w:tab/>
      </w:r>
      <w:r>
        <w:rPr>
          <w:rFonts w:ascii="Times New Roman" w:hAnsi="Times New Roman" w:cs="Times New Roman"/>
          <w:color w:val="auto"/>
          <w:highlight w:val="none"/>
          <w:shd w:val="clear" w:color="000000" w:fill="FFFFFF"/>
        </w:rPr>
        <w:t>(</w:t>
      </w:r>
      <w:r>
        <w:rPr>
          <w:rFonts w:hint="default" w:ascii="Times New Roman" w:hAnsi="Times New Roman" w:cs="Times New Roman"/>
          <w:color w:val="auto"/>
          <w:highlight w:val="none"/>
          <w:shd w:val="clear" w:color="000000" w:fill="FFFFFF"/>
          <w:lang w:val="en-US" w:eastAsia="zh-CN"/>
        </w:rPr>
        <w:t>7.</w:t>
      </w:r>
      <w:r>
        <w:rPr>
          <w:rFonts w:hint="eastAsia" w:ascii="Times New Roman" w:hAnsi="Times New Roman" w:cs="Times New Roman"/>
          <w:color w:val="auto"/>
          <w:highlight w:val="none"/>
          <w:shd w:val="clear" w:color="000000" w:fill="FFFFFF"/>
          <w:lang w:val="en-US" w:eastAsia="zh-CN"/>
        </w:rPr>
        <w:t>7</w:t>
      </w:r>
      <w:r>
        <w:rPr>
          <w:rFonts w:hint="default" w:ascii="Times New Roman" w:hAnsi="Times New Roman" w:cs="Times New Roman"/>
          <w:color w:val="auto"/>
          <w:highlight w:val="none"/>
          <w:shd w:val="clear" w:color="000000" w:fill="FFFFFF"/>
          <w:lang w:val="en-US" w:eastAsia="zh-CN"/>
        </w:rPr>
        <w:t>.</w:t>
      </w:r>
      <w:r>
        <w:rPr>
          <w:rFonts w:hint="eastAsia" w:ascii="Times New Roman" w:hAnsi="Times New Roman" w:cs="Times New Roman"/>
          <w:color w:val="auto"/>
          <w:highlight w:val="none"/>
          <w:shd w:val="clear" w:color="000000" w:fill="FFFFFF"/>
          <w:lang w:val="en-US" w:eastAsia="zh-CN"/>
          <w:woUserID w:val="4"/>
        </w:rPr>
        <w:t>7</w:t>
      </w:r>
      <w:r>
        <w:rPr>
          <w:rFonts w:hint="default" w:ascii="Times New Roman" w:hAnsi="Times New Roman" w:cs="Times New Roman"/>
          <w:color w:val="auto"/>
          <w:highlight w:val="none"/>
          <w:shd w:val="clear" w:color="000000" w:fill="FFFFFF"/>
          <w:lang w:val="en-US" w:eastAsia="zh-CN"/>
        </w:rPr>
        <w:t>-</w:t>
      </w:r>
      <w:r>
        <w:rPr>
          <w:rFonts w:ascii="Times New Roman" w:hAnsi="Times New Roman" w:cs="Times New Roman"/>
          <w:color w:val="auto"/>
          <w:highlight w:val="none"/>
          <w:shd w:val="clear" w:color="000000" w:fill="FFFFFF"/>
        </w:rPr>
        <w:t>2)</w:t>
      </w:r>
    </w:p>
    <w:p w14:paraId="40D61DC3">
      <w:pPr>
        <w:pStyle w:val="131"/>
        <w:kinsoku/>
        <w:overflowPunct/>
        <w:bidi w:val="0"/>
        <w:adjustRightInd/>
        <w:snapToGrid/>
        <w:spacing w:line="360" w:lineRule="auto"/>
        <w:ind w:left="630" w:leftChars="300" w:firstLine="0" w:firstLineChars="0"/>
        <w:rPr>
          <w:rFonts w:ascii="Times New Roman" w:hAnsi="Times New Roman" w:cs="Times New Roman"/>
          <w:color w:val="auto"/>
          <w:highlight w:val="none"/>
        </w:rPr>
      </w:pPr>
      <w:r>
        <w:rPr>
          <w:rFonts w:hint="default" w:ascii="Times New Roman" w:hAnsi="Times New Roman" w:cs="Times New Roman"/>
          <w:color w:val="auto"/>
          <w:highlight w:val="none"/>
        </w:rPr>
        <w:t>式中：</w:t>
      </w:r>
    </w:p>
    <w:p w14:paraId="52F3B245">
      <w:pPr>
        <w:shd w:val="clear" w:color="000000" w:fill="FFFFFF"/>
        <w:tabs>
          <w:tab w:val="left" w:pos="210"/>
        </w:tabs>
        <w:kinsoku/>
        <w:overflowPunct/>
        <w:bidi w:val="0"/>
        <w:adjustRightInd/>
        <w:spacing w:line="360" w:lineRule="auto"/>
        <w:ind w:left="630" w:leftChars="300" w:firstLine="0" w:firstLineChars="0"/>
        <w:jc w:val="both"/>
        <w:textAlignment w:val="center"/>
        <w:rPr>
          <w:rFonts w:ascii="Times New Roman" w:hAnsi="Times New Roman" w:cs="Times New Roman"/>
          <w:color w:val="auto"/>
          <w:highlight w:val="none"/>
          <w:shd w:val="clear" w:color="000000" w:fill="FFFFFF"/>
        </w:rPr>
      </w:pPr>
      <m:oMath>
        <m:sSub>
          <m:sSubPr>
            <m:ctrlPr>
              <w:rPr>
                <w:rFonts w:ascii="Cambria Math" w:hAnsi="Cambria Math" w:cs="Times New Roman"/>
                <w:bCs/>
                <w:i/>
                <w:color w:val="auto"/>
                <w:highlight w:val="none"/>
              </w:rPr>
            </m:ctrlPr>
          </m:sSubPr>
          <m:e>
            <m:r>
              <m:rPr/>
              <w:rPr>
                <w:rFonts w:ascii="Cambria Math" w:hAnsi="Cambria Math" w:cs="Times New Roman"/>
                <w:color w:val="auto"/>
                <w:highlight w:val="none"/>
              </w:rPr>
              <m:t>S</m:t>
            </m:r>
            <m:ctrlPr>
              <w:rPr>
                <w:rFonts w:ascii="Cambria Math" w:hAnsi="Cambria Math" w:cs="Times New Roman"/>
                <w:bCs/>
                <w:i/>
                <w:color w:val="auto"/>
                <w:highlight w:val="none"/>
              </w:rPr>
            </m:ctrlPr>
          </m:e>
          <m:sub>
            <m:r>
              <m:rPr/>
              <w:rPr>
                <w:rFonts w:ascii="Cambria Math" w:hAnsi="Cambria Math" w:cs="Times New Roman"/>
                <w:color w:val="auto"/>
                <w:highlight w:val="none"/>
              </w:rPr>
              <m:t>1</m:t>
            </m:r>
            <m:ctrlPr>
              <w:rPr>
                <w:rFonts w:ascii="Cambria Math" w:hAnsi="Cambria Math" w:cs="Times New Roman"/>
                <w:bCs/>
                <w:i/>
                <w:color w:val="auto"/>
                <w:highlight w:val="none"/>
              </w:rPr>
            </m:ctrlPr>
          </m:sub>
        </m:sSub>
      </m:oMath>
      <w:r>
        <w:rPr>
          <w:rFonts w:ascii="Times New Roman" w:hAnsi="Times New Roman" w:cs="Times New Roman"/>
          <w:bCs/>
          <w:color w:val="auto"/>
          <w:highlight w:val="none"/>
        </w:rPr>
        <w:tab/>
      </w:r>
      <w:r>
        <w:rPr>
          <w:rFonts w:hint="default" w:ascii="Times New Roman" w:hAnsi="Times New Roman" w:cs="Times New Roman"/>
          <w:color w:val="auto"/>
          <w:highlight w:val="none"/>
          <w:shd w:val="clear" w:color="000000" w:fill="FFFFFF"/>
        </w:rPr>
        <w:t>——试件的初始毛细吸水速率（mm</w:t>
      </w:r>
      <w:r>
        <w:rPr>
          <w:rFonts w:ascii="Times New Roman" w:hAnsi="Times New Roman" w:cs="Times New Roman"/>
          <w:color w:val="auto"/>
          <w:highlight w:val="none"/>
          <w:shd w:val="clear" w:color="000000" w:fill="FFFFFF"/>
        </w:rPr>
        <w:t>/min</w:t>
      </w:r>
      <w:r>
        <w:rPr>
          <w:rFonts w:ascii="Times New Roman" w:hAnsi="Times New Roman" w:cs="Times New Roman"/>
          <w:color w:val="auto"/>
          <w:highlight w:val="none"/>
          <w:shd w:val="clear" w:color="000000" w:fill="FFFFFF"/>
          <w:vertAlign w:val="superscript"/>
        </w:rPr>
        <w:t>0.5</w:t>
      </w:r>
      <w:r>
        <w:rPr>
          <w:rFonts w:hint="default" w:ascii="Times New Roman" w:hAnsi="Times New Roman" w:cs="Times New Roman"/>
          <w:color w:val="auto"/>
          <w:highlight w:val="none"/>
          <w:shd w:val="clear" w:color="000000" w:fill="FFFFFF"/>
        </w:rPr>
        <w:t>），</w:t>
      </w:r>
      <w:r>
        <w:rPr>
          <w:rFonts w:hint="default" w:ascii="Times New Roman" w:hAnsi="Times New Roman" w:cs="Times New Roman"/>
          <w:color w:val="auto"/>
          <w:highlight w:val="none"/>
          <w:shd w:val="clear" w:color="000000" w:fill="FFFFFF"/>
          <w:lang w:eastAsia="zh-CN"/>
        </w:rPr>
        <w:t>精确至</w:t>
      </w:r>
      <w:r>
        <w:rPr>
          <w:rFonts w:hint="default" w:ascii="Times New Roman" w:hAnsi="Times New Roman" w:cs="Times New Roman"/>
          <w:color w:val="auto"/>
          <w:highlight w:val="none"/>
          <w:shd w:val="clear" w:color="000000" w:fill="FFFFFF"/>
        </w:rPr>
        <w:t>0</w:t>
      </w:r>
      <w:r>
        <w:rPr>
          <w:rFonts w:ascii="Times New Roman" w:hAnsi="Times New Roman" w:cs="Times New Roman"/>
          <w:color w:val="auto"/>
          <w:highlight w:val="none"/>
          <w:shd w:val="clear" w:color="000000" w:fill="FFFFFF"/>
        </w:rPr>
        <w:t xml:space="preserve">.0001 </w:t>
      </w:r>
      <w:r>
        <w:rPr>
          <w:rFonts w:hint="default" w:ascii="Times New Roman" w:hAnsi="Times New Roman" w:cs="Times New Roman"/>
          <w:color w:val="auto"/>
          <w:highlight w:val="none"/>
          <w:shd w:val="clear" w:color="000000" w:fill="FFFFFF"/>
        </w:rPr>
        <w:t>mm</w:t>
      </w:r>
      <w:r>
        <w:rPr>
          <w:rFonts w:ascii="Times New Roman" w:hAnsi="Times New Roman" w:cs="Times New Roman"/>
          <w:color w:val="auto"/>
          <w:highlight w:val="none"/>
          <w:shd w:val="clear" w:color="000000" w:fill="FFFFFF"/>
        </w:rPr>
        <w:t>/min</w:t>
      </w:r>
      <w:r>
        <w:rPr>
          <w:rFonts w:ascii="Times New Roman" w:hAnsi="Times New Roman" w:cs="Times New Roman"/>
          <w:color w:val="auto"/>
          <w:highlight w:val="none"/>
          <w:shd w:val="clear" w:color="000000" w:fill="FFFFFF"/>
          <w:vertAlign w:val="superscript"/>
        </w:rPr>
        <w:t>0.5</w:t>
      </w:r>
      <w:r>
        <w:rPr>
          <w:rFonts w:ascii="Times New Roman" w:hAnsi="Times New Roman" w:cs="Times New Roman"/>
          <w:color w:val="auto"/>
          <w:highlight w:val="none"/>
          <w:shd w:val="clear" w:color="000000" w:fill="FFFFFF"/>
        </w:rPr>
        <w:t>；</w:t>
      </w:r>
    </w:p>
    <w:p w14:paraId="1D2EE51C">
      <w:pPr>
        <w:shd w:val="clear" w:color="000000" w:fill="FFFFFF"/>
        <w:kinsoku/>
        <w:overflowPunct/>
        <w:bidi w:val="0"/>
        <w:adjustRightInd/>
        <w:spacing w:line="360" w:lineRule="auto"/>
        <w:ind w:left="630" w:leftChars="300" w:firstLine="0" w:firstLineChars="0"/>
        <w:jc w:val="both"/>
        <w:rPr>
          <w:rFonts w:ascii="Times New Roman" w:hAnsi="Times New Roman" w:cs="Times New Roman"/>
          <w:color w:val="auto"/>
          <w:highlight w:val="none"/>
          <w:shd w:val="clear" w:color="000000" w:fill="FFFFFF"/>
        </w:rPr>
      </w:pPr>
      <w:r>
        <w:rPr>
          <w:rFonts w:ascii="Times New Roman" w:hAnsi="Times New Roman" w:cs="Times New Roman"/>
          <w:i/>
          <w:color w:val="auto"/>
          <w:highlight w:val="none"/>
          <w:shd w:val="clear" w:color="000000" w:fill="FFFFFF"/>
        </w:rPr>
        <w:t>b</w:t>
      </w:r>
      <w:r>
        <w:rPr>
          <w:rFonts w:ascii="Times New Roman" w:hAnsi="Times New Roman" w:cs="Times New Roman"/>
          <w:color w:val="auto"/>
          <w:highlight w:val="none"/>
          <w:shd w:val="clear" w:color="000000" w:fill="FFFFFF"/>
          <w:vertAlign w:val="subscript"/>
        </w:rPr>
        <w:t>1</w:t>
      </w:r>
      <w:r>
        <w:rPr>
          <w:rFonts w:ascii="Times New Roman" w:hAnsi="Times New Roman" w:cs="Times New Roman"/>
          <w:color w:val="auto"/>
          <w:highlight w:val="none"/>
          <w:shd w:val="clear" w:color="000000" w:fill="FFFFFF"/>
        </w:rPr>
        <w:tab/>
      </w:r>
      <w:r>
        <w:rPr>
          <w:rFonts w:hint="default" w:ascii="Times New Roman" w:hAnsi="Times New Roman" w:cs="Times New Roman"/>
          <w:color w:val="auto"/>
          <w:highlight w:val="none"/>
          <w:shd w:val="clear" w:color="000000" w:fill="FFFFFF"/>
        </w:rPr>
        <w:t>——初始拟合参数（mm）。</w:t>
      </w:r>
    </w:p>
    <w:p w14:paraId="1006E866">
      <w:pPr>
        <w:shd w:val="clear" w:color="000000" w:fill="FFFFFF"/>
        <w:kinsoku/>
        <w:overflowPunct/>
        <w:bidi w:val="0"/>
        <w:adjustRightInd/>
        <w:spacing w:line="360" w:lineRule="auto"/>
        <w:ind w:left="630" w:leftChars="300" w:firstLine="0" w:firstLineChars="0"/>
        <w:jc w:val="both"/>
        <w:rPr>
          <w:rFonts w:ascii="Times New Roman" w:hAnsi="Times New Roman" w:cs="Times New Roman"/>
          <w:color w:val="auto"/>
          <w:sz w:val="20"/>
          <w:highlight w:val="none"/>
          <w:shd w:val="clear" w:color="000000" w:fill="FFFFFF"/>
        </w:rPr>
      </w:pPr>
      <w:r>
        <w:rPr>
          <w:rFonts w:hint="default" w:ascii="Times New Roman" w:hAnsi="Times New Roman" w:eastAsia="黑体" w:cs="Times New Roman"/>
          <w:color w:val="auto"/>
          <w:sz w:val="20"/>
          <w:highlight w:val="none"/>
          <w:shd w:val="clear" w:color="000000" w:fill="FFFFFF"/>
        </w:rPr>
        <w:t>注：</w:t>
      </w:r>
      <w:r>
        <w:rPr>
          <w:rFonts w:hint="default" w:ascii="Times New Roman" w:hAnsi="Times New Roman" w:cs="Times New Roman"/>
          <w:color w:val="auto"/>
          <w:sz w:val="20"/>
          <w:highlight w:val="none"/>
          <w:shd w:val="clear" w:color="000000" w:fill="FFFFFF"/>
        </w:rPr>
        <w:t>初始拟合参数</w:t>
      </w:r>
      <w:r>
        <w:rPr>
          <w:rFonts w:ascii="Times New Roman" w:hAnsi="Times New Roman" w:cs="Times New Roman"/>
          <w:i/>
          <w:color w:val="auto"/>
          <w:sz w:val="20"/>
          <w:highlight w:val="none"/>
          <w:shd w:val="clear" w:color="000000" w:fill="FFFFFF"/>
        </w:rPr>
        <w:t>b</w:t>
      </w:r>
      <w:r>
        <w:rPr>
          <w:rFonts w:ascii="Times New Roman" w:hAnsi="Times New Roman" w:cs="Times New Roman"/>
          <w:color w:val="auto"/>
          <w:sz w:val="20"/>
          <w:highlight w:val="none"/>
          <w:shd w:val="clear" w:color="000000" w:fill="FFFFFF"/>
          <w:vertAlign w:val="subscript"/>
        </w:rPr>
        <w:t>1</w:t>
      </w:r>
      <w:r>
        <w:rPr>
          <w:rFonts w:hint="default" w:ascii="Times New Roman" w:hAnsi="Times New Roman" w:cs="Times New Roman"/>
          <w:color w:val="auto"/>
          <w:sz w:val="20"/>
          <w:highlight w:val="none"/>
          <w:shd w:val="clear" w:color="000000" w:fill="FFFFFF"/>
        </w:rPr>
        <w:t>主要反映试件吸水面处并非理想一维毛细吸水情形的影响程度。</w:t>
      </w:r>
    </w:p>
    <w:p w14:paraId="09F1F2B8">
      <w:pPr>
        <w:pStyle w:val="125"/>
        <w:numPr>
          <w:ilvl w:val="0"/>
          <w:numId w:val="21"/>
        </w:numPr>
        <w:kinsoku/>
        <w:overflowPunct/>
        <w:bidi w:val="0"/>
        <w:spacing w:line="360" w:lineRule="auto"/>
        <w:ind w:left="0" w:leftChars="0" w:firstLine="420" w:firstLineChars="200"/>
        <w:rPr>
          <w:rFonts w:hint="default" w:ascii="Times New Roman" w:hAnsi="Times New Roman" w:eastAsia="宋体" w:cs="Times New Roman"/>
          <w:bCs w:val="0"/>
          <w:color w:val="auto"/>
          <w:szCs w:val="20"/>
          <w:highlight w:val="none"/>
          <w:shd w:val="clear" w:color="000000" w:fill="FFFFFF"/>
        </w:rPr>
      </w:pPr>
      <w:r>
        <w:rPr>
          <w:rFonts w:hint="default" w:ascii="Times New Roman" w:hAnsi="Times New Roman" w:eastAsia="宋体" w:cs="Times New Roman"/>
          <w:bCs w:val="0"/>
          <w:color w:val="auto"/>
          <w:szCs w:val="20"/>
          <w:highlight w:val="none"/>
          <w:shd w:val="clear" w:color="000000" w:fill="FFFFFF"/>
        </w:rPr>
        <w:t>按式（</w:t>
      </w:r>
      <w:r>
        <w:rPr>
          <w:rFonts w:hint="default" w:ascii="Times New Roman" w:hAnsi="Times New Roman" w:eastAsia="宋体" w:cs="Times New Roman"/>
          <w:bCs w:val="0"/>
          <w:color w:val="auto"/>
          <w:szCs w:val="20"/>
          <w:highlight w:val="none"/>
          <w:shd w:val="clear" w:color="000000" w:fill="FFFFFF"/>
          <w:lang w:val="en-US" w:eastAsia="zh-CN"/>
        </w:rPr>
        <w:t>7.</w:t>
      </w:r>
      <w:r>
        <w:rPr>
          <w:rFonts w:hint="eastAsia" w:ascii="Times New Roman" w:cs="Times New Roman"/>
          <w:bCs w:val="0"/>
          <w:color w:val="auto"/>
          <w:szCs w:val="20"/>
          <w:highlight w:val="none"/>
          <w:shd w:val="clear" w:color="000000" w:fill="FFFFFF"/>
          <w:lang w:val="en-US" w:eastAsia="zh-CN"/>
        </w:rPr>
        <w:t>7</w:t>
      </w:r>
      <w:r>
        <w:rPr>
          <w:rFonts w:hint="default" w:ascii="Times New Roman" w:hAnsi="Times New Roman" w:eastAsia="宋体" w:cs="Times New Roman"/>
          <w:bCs w:val="0"/>
          <w:color w:val="auto"/>
          <w:szCs w:val="20"/>
          <w:highlight w:val="none"/>
          <w:shd w:val="clear" w:color="000000" w:fill="FFFFFF"/>
          <w:lang w:val="en-US" w:eastAsia="zh-CN"/>
        </w:rPr>
        <w:t>.</w:t>
      </w:r>
      <w:r>
        <w:rPr>
          <w:rFonts w:hint="eastAsia" w:ascii="Times New Roman" w:cs="Times New Roman"/>
          <w:bCs w:val="0"/>
          <w:color w:val="auto"/>
          <w:szCs w:val="20"/>
          <w:highlight w:val="none"/>
          <w:shd w:val="clear" w:color="000000" w:fill="FFFFFF"/>
          <w:lang w:val="en-US" w:eastAsia="zh-CN"/>
          <w:woUserID w:val="4"/>
        </w:rPr>
        <w:t>7</w:t>
      </w:r>
      <w:r>
        <w:rPr>
          <w:rFonts w:hint="default" w:ascii="Times New Roman" w:hAnsi="Times New Roman" w:eastAsia="宋体" w:cs="Times New Roman"/>
          <w:bCs w:val="0"/>
          <w:color w:val="auto"/>
          <w:szCs w:val="20"/>
          <w:highlight w:val="none"/>
          <w:shd w:val="clear" w:color="000000" w:fill="FFFFFF"/>
          <w:lang w:val="en-US" w:eastAsia="zh-CN"/>
        </w:rPr>
        <w:t>-</w:t>
      </w:r>
      <w:r>
        <w:rPr>
          <w:rFonts w:hint="default" w:ascii="Times New Roman" w:hAnsi="Times New Roman" w:eastAsia="宋体" w:cs="Times New Roman"/>
          <w:bCs w:val="0"/>
          <w:color w:val="auto"/>
          <w:szCs w:val="20"/>
          <w:highlight w:val="none"/>
          <w:shd w:val="clear" w:color="000000" w:fill="FFFFFF"/>
        </w:rPr>
        <w:t xml:space="preserve">2）进行拟合时，应选用20 min </w:t>
      </w:r>
      <w:r>
        <w:rPr>
          <w:rFonts w:hint="default" w:ascii="Times New Roman" w:hAnsi="Times New Roman" w:eastAsia="宋体" w:cs="Times New Roman"/>
          <w:bCs w:val="0"/>
          <w:color w:val="auto"/>
          <w:szCs w:val="20"/>
          <w:highlight w:val="none"/>
          <w:shd w:val="clear" w:color="000000" w:fill="FFFFFF"/>
        </w:rPr>
        <w:sym w:font="Symbol" w:char="F0A3"/>
      </w:r>
      <w:r>
        <w:rPr>
          <w:rFonts w:hint="default" w:ascii="Times New Roman" w:hAnsi="Times New Roman" w:eastAsia="宋体" w:cs="Times New Roman"/>
          <w:bCs w:val="0"/>
          <w:color w:val="auto"/>
          <w:szCs w:val="20"/>
          <w:highlight w:val="none"/>
          <w:shd w:val="clear" w:color="000000" w:fill="FFFFFF"/>
        </w:rPr>
        <w:t xml:space="preserve"> </w:t>
      </w:r>
      <w:r>
        <w:rPr>
          <w:rFonts w:hint="default" w:ascii="Times New Roman" w:hAnsi="Times New Roman" w:eastAsia="宋体" w:cs="Times New Roman"/>
          <w:bCs w:val="0"/>
          <w:i w:val="0"/>
          <w:color w:val="auto"/>
          <w:szCs w:val="20"/>
          <w:highlight w:val="none"/>
          <w:shd w:val="clear" w:color="000000" w:fill="FFFFFF"/>
        </w:rPr>
        <w:t>t</w:t>
      </w:r>
      <w:r>
        <w:rPr>
          <w:rFonts w:hint="default" w:ascii="Times New Roman" w:hAnsi="Times New Roman" w:eastAsia="宋体" w:cs="Times New Roman"/>
          <w:bCs w:val="0"/>
          <w:color w:val="auto"/>
          <w:szCs w:val="20"/>
          <w:highlight w:val="none"/>
          <w:shd w:val="clear" w:color="000000" w:fill="FFFFFF"/>
        </w:rPr>
        <w:t xml:space="preserve"> </w:t>
      </w:r>
      <w:r>
        <w:rPr>
          <w:rFonts w:hint="default" w:ascii="Times New Roman" w:hAnsi="Times New Roman" w:eastAsia="宋体" w:cs="Times New Roman"/>
          <w:bCs w:val="0"/>
          <w:color w:val="auto"/>
          <w:szCs w:val="20"/>
          <w:highlight w:val="none"/>
          <w:shd w:val="clear" w:color="000000" w:fill="FFFFFF"/>
        </w:rPr>
        <w:sym w:font="Symbol" w:char="F0A3"/>
      </w:r>
      <w:r>
        <w:rPr>
          <w:rFonts w:hint="default" w:ascii="Times New Roman" w:hAnsi="Times New Roman" w:eastAsia="宋体" w:cs="Times New Roman"/>
          <w:bCs w:val="0"/>
          <w:color w:val="auto"/>
          <w:szCs w:val="20"/>
          <w:highlight w:val="none"/>
          <w:shd w:val="clear" w:color="000000" w:fill="FFFFFF"/>
        </w:rPr>
        <w:t xml:space="preserve"> 24 h时的所有毛细吸水率</w:t>
      </w:r>
      <w:r>
        <w:rPr>
          <w:rFonts w:hint="default" w:ascii="Times New Roman" w:hAnsi="Times New Roman" w:eastAsia="宋体" w:cs="Times New Roman"/>
          <w:bCs w:val="0"/>
          <w:i w:val="0"/>
          <w:color w:val="auto"/>
          <w:szCs w:val="20"/>
          <w:highlight w:val="none"/>
          <w:shd w:val="clear" w:color="000000" w:fill="FFFFFF"/>
        </w:rPr>
        <w:t>I</w:t>
      </w:r>
      <w:r>
        <w:rPr>
          <w:rFonts w:hint="default" w:ascii="Times New Roman" w:hAnsi="Times New Roman" w:eastAsia="宋体" w:cs="Times New Roman"/>
          <w:bCs w:val="0"/>
          <w:i w:val="0"/>
          <w:color w:val="auto"/>
          <w:szCs w:val="20"/>
          <w:highlight w:val="none"/>
          <w:shd w:val="clear" w:color="000000" w:fill="FFFFFF"/>
          <w:vertAlign w:val="subscript"/>
        </w:rPr>
        <w:t>t</w:t>
      </w:r>
      <w:r>
        <w:rPr>
          <w:rFonts w:hint="default" w:ascii="Times New Roman" w:hAnsi="Times New Roman" w:eastAsia="宋体" w:cs="Times New Roman"/>
          <w:bCs w:val="0"/>
          <w:color w:val="auto"/>
          <w:szCs w:val="20"/>
          <w:highlight w:val="none"/>
          <w:shd w:val="clear" w:color="000000" w:fill="FFFFFF"/>
        </w:rPr>
        <w:t>，且相关系数</w:t>
      </w:r>
      <w:r>
        <w:rPr>
          <w:rFonts w:hint="default" w:ascii="Times New Roman" w:hAnsi="Times New Roman" w:eastAsia="宋体" w:cs="Times New Roman"/>
          <w:bCs w:val="0"/>
          <w:i w:val="0"/>
          <w:color w:val="auto"/>
          <w:szCs w:val="20"/>
          <w:highlight w:val="none"/>
          <w:shd w:val="clear" w:color="000000" w:fill="FFFFFF"/>
        </w:rPr>
        <w:t>R</w:t>
      </w:r>
      <w:r>
        <w:rPr>
          <w:rFonts w:hint="default" w:ascii="Times New Roman" w:hAnsi="Times New Roman" w:eastAsia="宋体" w:cs="Times New Roman"/>
          <w:bCs w:val="0"/>
          <w:color w:val="auto"/>
          <w:szCs w:val="20"/>
          <w:highlight w:val="none"/>
          <w:shd w:val="clear" w:color="000000" w:fill="FFFFFF"/>
          <w:vertAlign w:val="superscript"/>
        </w:rPr>
        <w:t>2</w:t>
      </w:r>
      <w:r>
        <w:rPr>
          <w:rFonts w:hint="default" w:ascii="Times New Roman" w:hAnsi="Times New Roman" w:eastAsia="宋体" w:cs="Times New Roman"/>
          <w:bCs w:val="0"/>
          <w:color w:val="auto"/>
          <w:szCs w:val="20"/>
          <w:highlight w:val="none"/>
          <w:shd w:val="clear" w:color="000000" w:fill="FFFFFF"/>
        </w:rPr>
        <w:t>不应小于0.98。当相关系数</w:t>
      </w:r>
      <w:r>
        <w:rPr>
          <w:rFonts w:hint="default" w:ascii="Times New Roman" w:hAnsi="Times New Roman" w:eastAsia="宋体" w:cs="Times New Roman"/>
          <w:bCs w:val="0"/>
          <w:i w:val="0"/>
          <w:color w:val="auto"/>
          <w:szCs w:val="20"/>
          <w:highlight w:val="none"/>
          <w:shd w:val="clear" w:color="000000" w:fill="FFFFFF"/>
        </w:rPr>
        <w:t>R</w:t>
      </w:r>
      <w:r>
        <w:rPr>
          <w:rFonts w:hint="default" w:ascii="Times New Roman" w:hAnsi="Times New Roman" w:eastAsia="宋体" w:cs="Times New Roman"/>
          <w:bCs w:val="0"/>
          <w:color w:val="auto"/>
          <w:szCs w:val="20"/>
          <w:highlight w:val="none"/>
          <w:shd w:val="clear" w:color="000000" w:fill="FFFFFF"/>
          <w:vertAlign w:val="superscript"/>
        </w:rPr>
        <w:t>2</w:t>
      </w:r>
      <w:r>
        <w:rPr>
          <w:rFonts w:hint="default" w:ascii="Times New Roman" w:hAnsi="Times New Roman" w:eastAsia="宋体" w:cs="Times New Roman"/>
          <w:bCs w:val="0"/>
          <w:color w:val="auto"/>
          <w:szCs w:val="20"/>
          <w:highlight w:val="none"/>
          <w:shd w:val="clear" w:color="000000" w:fill="FFFFFF"/>
        </w:rPr>
        <w:t>不满足要求时，从后往前逐个删除毛细吸水率</w:t>
      </w:r>
      <w:r>
        <w:rPr>
          <w:rFonts w:hint="default" w:ascii="Times New Roman" w:hAnsi="Times New Roman" w:eastAsia="宋体" w:cs="Times New Roman"/>
          <w:bCs w:val="0"/>
          <w:i w:val="0"/>
          <w:color w:val="auto"/>
          <w:szCs w:val="20"/>
          <w:highlight w:val="none"/>
          <w:shd w:val="clear" w:color="000000" w:fill="FFFFFF"/>
        </w:rPr>
        <w:t>I</w:t>
      </w:r>
      <w:r>
        <w:rPr>
          <w:rFonts w:hint="default" w:ascii="Times New Roman" w:hAnsi="Times New Roman" w:eastAsia="宋体" w:cs="Times New Roman"/>
          <w:bCs w:val="0"/>
          <w:i w:val="0"/>
          <w:color w:val="auto"/>
          <w:szCs w:val="20"/>
          <w:highlight w:val="none"/>
          <w:shd w:val="clear" w:color="000000" w:fill="FFFFFF"/>
          <w:vertAlign w:val="subscript"/>
        </w:rPr>
        <w:t>t</w:t>
      </w:r>
      <w:r>
        <w:rPr>
          <w:rFonts w:hint="default" w:ascii="Times New Roman" w:hAnsi="Times New Roman" w:eastAsia="宋体" w:cs="Times New Roman"/>
          <w:bCs w:val="0"/>
          <w:color w:val="auto"/>
          <w:szCs w:val="20"/>
          <w:highlight w:val="none"/>
          <w:shd w:val="clear" w:color="000000" w:fill="FFFFFF"/>
        </w:rPr>
        <w:t>数据点并重新拟合，直至相关系数</w:t>
      </w:r>
      <w:r>
        <w:rPr>
          <w:rFonts w:hint="default" w:ascii="Times New Roman" w:hAnsi="Times New Roman" w:eastAsia="宋体" w:cs="Times New Roman"/>
          <w:bCs w:val="0"/>
          <w:i w:val="0"/>
          <w:color w:val="auto"/>
          <w:szCs w:val="20"/>
          <w:highlight w:val="none"/>
          <w:shd w:val="clear" w:color="000000" w:fill="FFFFFF"/>
        </w:rPr>
        <w:t>R</w:t>
      </w:r>
      <w:r>
        <w:rPr>
          <w:rFonts w:hint="default" w:ascii="Times New Roman" w:hAnsi="Times New Roman" w:eastAsia="宋体" w:cs="Times New Roman"/>
          <w:bCs w:val="0"/>
          <w:color w:val="auto"/>
          <w:szCs w:val="20"/>
          <w:highlight w:val="none"/>
          <w:shd w:val="clear" w:color="000000" w:fill="FFFFFF"/>
          <w:vertAlign w:val="superscript"/>
        </w:rPr>
        <w:t>2</w:t>
      </w:r>
      <w:r>
        <w:rPr>
          <w:rFonts w:hint="default" w:ascii="Times New Roman" w:hAnsi="Times New Roman" w:eastAsia="宋体" w:cs="Times New Roman"/>
          <w:bCs w:val="0"/>
          <w:color w:val="auto"/>
          <w:szCs w:val="20"/>
          <w:highlight w:val="none"/>
          <w:shd w:val="clear" w:color="000000" w:fill="FFFFFF"/>
        </w:rPr>
        <w:t>满足要求。当拟合数据点的数量少于5个或初始拟合参数</w:t>
      </w:r>
      <w:r>
        <w:rPr>
          <w:rFonts w:hint="default" w:ascii="Times New Roman" w:hAnsi="Times New Roman" w:eastAsia="宋体" w:cs="Times New Roman"/>
          <w:bCs w:val="0"/>
          <w:i w:val="0"/>
          <w:color w:val="auto"/>
          <w:szCs w:val="20"/>
          <w:highlight w:val="none"/>
          <w:shd w:val="clear" w:color="000000" w:fill="FFFFFF"/>
        </w:rPr>
        <w:t>b</w:t>
      </w:r>
      <w:r>
        <w:rPr>
          <w:rFonts w:hint="default" w:ascii="Times New Roman" w:hAnsi="Times New Roman" w:eastAsia="宋体" w:cs="Times New Roman"/>
          <w:bCs w:val="0"/>
          <w:color w:val="auto"/>
          <w:szCs w:val="20"/>
          <w:highlight w:val="none"/>
          <w:shd w:val="clear" w:color="000000" w:fill="FFFFFF"/>
          <w:vertAlign w:val="subscript"/>
        </w:rPr>
        <w:t>1</w:t>
      </w:r>
      <w:r>
        <w:rPr>
          <w:rFonts w:hint="default" w:ascii="Times New Roman" w:hAnsi="Times New Roman" w:eastAsia="宋体" w:cs="Times New Roman"/>
          <w:bCs w:val="0"/>
          <w:i w:val="0"/>
          <w:color w:val="auto"/>
          <w:szCs w:val="20"/>
          <w:highlight w:val="none"/>
          <w:shd w:val="clear" w:color="000000" w:fill="FFFFFF"/>
        </w:rPr>
        <w:t>&lt;</w:t>
      </w:r>
      <w:r>
        <w:rPr>
          <w:rFonts w:hint="default" w:ascii="Times New Roman" w:hAnsi="Times New Roman" w:eastAsia="宋体" w:cs="Times New Roman"/>
          <w:bCs w:val="0"/>
          <w:color w:val="auto"/>
          <w:szCs w:val="20"/>
          <w:highlight w:val="none"/>
          <w:shd w:val="clear" w:color="000000" w:fill="FFFFFF"/>
        </w:rPr>
        <w:t>0，该试件初始毛细吸水速率的拟合结果无效。</w:t>
      </w:r>
    </w:p>
    <w:p w14:paraId="7AAFBA41">
      <w:pPr>
        <w:pStyle w:val="125"/>
        <w:numPr>
          <w:ilvl w:val="0"/>
          <w:numId w:val="21"/>
        </w:numPr>
        <w:kinsoku/>
        <w:overflowPunct/>
        <w:bidi w:val="0"/>
        <w:spacing w:line="360" w:lineRule="auto"/>
        <w:ind w:left="0" w:leftChars="0" w:firstLine="420" w:firstLineChars="200"/>
        <w:rPr>
          <w:rFonts w:ascii="Times New Roman"/>
          <w:color w:val="auto"/>
          <w:highlight w:val="none"/>
          <w:shd w:val="clear" w:color="000000" w:fill="FFFFFF"/>
        </w:rPr>
      </w:pPr>
      <w:r>
        <w:rPr>
          <w:rFonts w:hint="default" w:ascii="Times New Roman"/>
          <w:color w:val="auto"/>
          <w:highlight w:val="none"/>
          <w:shd w:val="clear" w:color="000000" w:fill="FFFFFF"/>
        </w:rPr>
        <w:t>按式（</w:t>
      </w:r>
      <w:r>
        <w:rPr>
          <w:rFonts w:hint="default" w:ascii="Times New Roman" w:hAnsi="Times New Roman" w:cs="Times New Roman"/>
          <w:color w:val="auto"/>
          <w:highlight w:val="none"/>
          <w:shd w:val="clear" w:color="000000" w:fill="FFFFFF"/>
          <w:lang w:val="en-US" w:eastAsia="zh-CN"/>
        </w:rPr>
        <w:t>7.</w:t>
      </w:r>
      <w:r>
        <w:rPr>
          <w:rFonts w:hint="eastAsia" w:ascii="Times New Roman" w:cs="Times New Roman"/>
          <w:color w:val="auto"/>
          <w:highlight w:val="none"/>
          <w:shd w:val="clear" w:color="000000" w:fill="FFFFFF"/>
          <w:lang w:val="en-US" w:eastAsia="zh-CN"/>
        </w:rPr>
        <w:t>7</w:t>
      </w:r>
      <w:r>
        <w:rPr>
          <w:rFonts w:hint="default" w:ascii="Times New Roman" w:hAnsi="Times New Roman" w:cs="Times New Roman"/>
          <w:color w:val="auto"/>
          <w:highlight w:val="none"/>
          <w:shd w:val="clear" w:color="000000" w:fill="FFFFFF"/>
          <w:lang w:val="en-US" w:eastAsia="zh-CN"/>
        </w:rPr>
        <w:t>.</w:t>
      </w:r>
      <w:r>
        <w:rPr>
          <w:rFonts w:hint="eastAsia" w:ascii="Times New Roman" w:cs="Times New Roman"/>
          <w:color w:val="auto"/>
          <w:highlight w:val="none"/>
          <w:shd w:val="clear" w:color="000000" w:fill="FFFFFF"/>
          <w:lang w:val="en-US" w:eastAsia="zh-CN"/>
          <w:woUserID w:val="4"/>
        </w:rPr>
        <w:t>7</w:t>
      </w:r>
      <w:r>
        <w:rPr>
          <w:rFonts w:hint="default" w:ascii="Times New Roman" w:hAnsi="Times New Roman" w:cs="Times New Roman"/>
          <w:color w:val="auto"/>
          <w:highlight w:val="none"/>
          <w:shd w:val="clear" w:color="000000" w:fill="FFFFFF"/>
          <w:lang w:val="en-US" w:eastAsia="zh-CN"/>
        </w:rPr>
        <w:t>-</w:t>
      </w:r>
      <w:r>
        <w:rPr>
          <w:rFonts w:hint="default" w:ascii="Times New Roman"/>
          <w:color w:val="auto"/>
          <w:highlight w:val="none"/>
          <w:shd w:val="clear" w:color="000000" w:fill="FFFFFF"/>
        </w:rPr>
        <w:t>2）进行拟合时，对相关系数</w:t>
      </w:r>
      <w:r>
        <w:rPr>
          <w:rFonts w:ascii="Times New Roman"/>
          <w:i/>
          <w:color w:val="auto"/>
          <w:highlight w:val="none"/>
          <w:shd w:val="clear" w:color="000000" w:fill="FFFFFF"/>
        </w:rPr>
        <w:t>R</w:t>
      </w:r>
      <w:r>
        <w:rPr>
          <w:rFonts w:ascii="Times New Roman"/>
          <w:color w:val="auto"/>
          <w:highlight w:val="none"/>
          <w:shd w:val="clear" w:color="000000" w:fill="FFFFFF"/>
          <w:vertAlign w:val="superscript"/>
        </w:rPr>
        <w:t>2</w:t>
      </w:r>
      <w:r>
        <w:rPr>
          <w:rFonts w:hint="default" w:ascii="Times New Roman"/>
          <w:color w:val="auto"/>
          <w:highlight w:val="none"/>
          <w:shd w:val="clear" w:color="000000" w:fill="FFFFFF"/>
        </w:rPr>
        <w:t>的限制要求应采用GB</w:t>
      </w:r>
      <w:r>
        <w:rPr>
          <w:rFonts w:ascii="Times New Roman"/>
          <w:color w:val="auto"/>
          <w:highlight w:val="none"/>
          <w:shd w:val="clear" w:color="000000" w:fill="FFFFFF"/>
        </w:rPr>
        <w:t>/T 8170</w:t>
      </w:r>
      <w:r>
        <w:rPr>
          <w:rFonts w:hint="default" w:ascii="Times New Roman"/>
          <w:color w:val="auto"/>
          <w:highlight w:val="none"/>
          <w:shd w:val="clear" w:color="000000" w:fill="FFFFFF"/>
        </w:rPr>
        <w:t>规定的全数值比较法。</w:t>
      </w:r>
    </w:p>
    <w:p w14:paraId="3BCD8567">
      <w:pPr>
        <w:pStyle w:val="125"/>
        <w:numPr>
          <w:ilvl w:val="0"/>
          <w:numId w:val="21"/>
        </w:numPr>
        <w:kinsoku/>
        <w:overflowPunct/>
        <w:bidi w:val="0"/>
        <w:spacing w:line="360" w:lineRule="auto"/>
        <w:ind w:left="0" w:leftChars="0" w:firstLine="400" w:firstLineChars="200"/>
        <w:rPr>
          <w:rFonts w:ascii="Times New Roman"/>
          <w:color w:val="auto"/>
          <w:highlight w:val="none"/>
          <w:shd w:val="clear" w:color="000000" w:fill="FFFFFF"/>
        </w:rPr>
      </w:pPr>
      <w:r>
        <w:rPr>
          <w:rFonts w:hint="default" w:ascii="Times New Roman" w:hAnsi="Times New Roman" w:eastAsia="宋体" w:cs="Times New Roman"/>
          <w:color w:val="auto"/>
          <w:kern w:val="2"/>
          <w:sz w:val="20"/>
          <w:szCs w:val="24"/>
          <w:highlight w:val="none"/>
          <w:shd w:val="clear" w:color="000000" w:fill="FFFFFF"/>
          <w:lang w:val="en-US" w:eastAsia="zh-CN" w:bidi="ar-SA"/>
          <w:woUserID w:val="0"/>
        </w:rPr>
        <w:t>注：当相关系数</w:t>
      </w:r>
      <w:r>
        <w:rPr>
          <w:rFonts w:hint="default" w:ascii="Times New Roman" w:hAnsi="Times New Roman" w:eastAsia="宋体" w:cs="Times New Roman"/>
          <w:i w:val="0"/>
          <w:iCs w:val="0"/>
          <w:color w:val="auto"/>
          <w:kern w:val="2"/>
          <w:sz w:val="20"/>
          <w:szCs w:val="24"/>
          <w:highlight w:val="none"/>
          <w:shd w:val="clear" w:color="000000" w:fill="FFFFFF"/>
          <w:lang w:val="en-US" w:eastAsia="zh-CN" w:bidi="ar-SA"/>
          <w:woUserID w:val="0"/>
        </w:rPr>
        <w:t>R</w:t>
      </w:r>
      <w:r>
        <w:rPr>
          <w:rFonts w:hint="default" w:ascii="Times New Roman" w:hAnsi="Times New Roman" w:eastAsia="宋体" w:cs="Times New Roman"/>
          <w:color w:val="auto"/>
          <w:kern w:val="2"/>
          <w:sz w:val="20"/>
          <w:szCs w:val="24"/>
          <w:highlight w:val="none"/>
          <w:shd w:val="clear" w:color="000000" w:fill="FFFFFF"/>
          <w:vertAlign w:val="superscript"/>
          <w:lang w:val="en-US" w:eastAsia="zh-CN" w:bidi="ar-SA"/>
          <w:woUserID w:val="0"/>
        </w:rPr>
        <w:t>2</w:t>
      </w:r>
      <w:r>
        <w:rPr>
          <w:rFonts w:hint="default" w:ascii="Times New Roman" w:hAnsi="Times New Roman" w:eastAsia="宋体" w:cs="Times New Roman"/>
          <w:color w:val="auto"/>
          <w:kern w:val="2"/>
          <w:sz w:val="20"/>
          <w:szCs w:val="24"/>
          <w:highlight w:val="none"/>
          <w:shd w:val="clear" w:color="000000" w:fill="FFFFFF"/>
          <w:lang w:val="en-US" w:eastAsia="zh-CN" w:bidi="ar-SA"/>
          <w:woUserID w:val="0"/>
        </w:rPr>
        <w:t>为0.9799时，不满足要求</w:t>
      </w:r>
      <w:r>
        <w:rPr>
          <w:rFonts w:hint="eastAsia" w:ascii="宋体" w:hAnsi="宋体" w:eastAsia="宋体" w:cs="宋体"/>
          <w:color w:val="auto"/>
          <w:kern w:val="0"/>
          <w:sz w:val="20"/>
          <w:szCs w:val="20"/>
          <w:highlight w:val="none"/>
          <w:shd w:val="clear" w:fill="FFFFFF"/>
          <w:lang w:val="en-US" w:eastAsia="zh-CN" w:bidi="ar"/>
          <w:woUserID w:val="4"/>
        </w:rPr>
        <w:t>。</w:t>
      </w:r>
    </w:p>
    <w:p w14:paraId="5D9003D3">
      <w:pPr>
        <w:pStyle w:val="125"/>
        <w:spacing w:before="0" w:beforeLines="0" w:after="0" w:afterLines="0" w:line="360" w:lineRule="auto"/>
        <w:ind w:firstLineChars="200"/>
        <w:rPr>
          <w:rFonts w:hint="default" w:ascii="Times New Roman" w:hAnsi="Times New Roman" w:eastAsia="宋体" w:cs="Times New Roman"/>
          <w:color w:val="auto"/>
          <w:highlight w:val="none"/>
          <w:shd w:val="clear" w:color="000000" w:fill="FFFFFF"/>
        </w:rPr>
      </w:pPr>
      <w:r>
        <w:rPr>
          <w:rFonts w:hint="default" w:ascii="Times New Roman" w:hAnsi="Times New Roman" w:cs="Times New Roman"/>
          <w:bCs/>
          <w:color w:val="auto"/>
          <w:szCs w:val="21"/>
          <w:highlight w:val="none"/>
          <w:shd w:val="clear"/>
          <w:lang w:val="en-US" w:eastAsia="zh-CN"/>
        </w:rPr>
        <w:t>2</w:t>
      </w:r>
      <w:r>
        <w:rPr>
          <w:rFonts w:hint="default" w:ascii="Times New Roman" w:hAnsi="Times New Roman" w:eastAsia="黑体" w:cs="Times New Roman"/>
          <w:bCs/>
          <w:color w:val="auto"/>
          <w:szCs w:val="21"/>
          <w:highlight w:val="none"/>
          <w:shd w:val="clear"/>
          <w:lang w:val="en-US" w:eastAsia="zh-CN"/>
        </w:rPr>
        <w:t xml:space="preserve">  </w:t>
      </w:r>
      <w:r>
        <w:rPr>
          <w:rFonts w:hint="default" w:ascii="Times New Roman" w:hAnsi="Times New Roman" w:eastAsia="宋体" w:cs="Times New Roman"/>
          <w:color w:val="auto"/>
          <w:highlight w:val="none"/>
          <w:shd w:val="clear" w:color="000000" w:fill="FFFFFF"/>
        </w:rPr>
        <w:t>计算结果处理</w:t>
      </w:r>
      <w:r>
        <w:rPr>
          <w:rFonts w:ascii="Times New Roman" w:hAnsi="Times New Roman" w:eastAsia="宋体" w:cs="Times New Roman"/>
          <w:color w:val="auto"/>
          <w:kern w:val="0"/>
          <w:highlight w:val="none"/>
          <w:shd w:val="clear" w:color="000000" w:fill="FFFFFF"/>
        </w:rPr>
        <w:t>应符合下列规定：</w:t>
      </w:r>
    </w:p>
    <w:p w14:paraId="260E4684">
      <w:pPr>
        <w:pStyle w:val="125"/>
        <w:numPr>
          <w:ilvl w:val="0"/>
          <w:numId w:val="22"/>
        </w:numPr>
        <w:kinsoku/>
        <w:overflowPunct/>
        <w:bidi w:val="0"/>
        <w:spacing w:line="360" w:lineRule="auto"/>
        <w:ind w:left="0" w:leftChars="0" w:firstLine="420" w:firstLineChars="200"/>
        <w:rPr>
          <w:rFonts w:ascii="Times New Roman"/>
          <w:color w:val="auto"/>
          <w:highlight w:val="none"/>
          <w:shd w:val="clear" w:color="000000" w:fill="FFFFFF"/>
        </w:rPr>
      </w:pPr>
      <w:r>
        <w:rPr>
          <w:rFonts w:hint="default" w:ascii="Times New Roman"/>
          <w:color w:val="auto"/>
          <w:highlight w:val="none"/>
          <w:shd w:val="clear" w:color="000000" w:fill="FFFFFF"/>
        </w:rPr>
        <w:t>若同组三个</w:t>
      </w:r>
      <w:r>
        <w:rPr>
          <w:rFonts w:hint="eastAsia" w:ascii="Times New Roman"/>
          <w:color w:val="auto"/>
          <w:highlight w:val="none"/>
          <w:shd w:val="clear" w:color="000000" w:fill="FFFFFF"/>
          <w:lang w:eastAsia="zh"/>
        </w:rPr>
        <w:t>超高性能混凝土</w:t>
      </w:r>
      <w:r>
        <w:rPr>
          <w:rFonts w:hint="default" w:ascii="Times New Roman"/>
          <w:color w:val="auto"/>
          <w:highlight w:val="none"/>
          <w:shd w:val="clear" w:color="000000" w:fill="FFFFFF"/>
        </w:rPr>
        <w:t>试件的初始毛细吸水速率均有效，应以三个试件测试结果的算术平均值作为该组试件的代表值。若只有一个试件的测试结果无效，则取其余两个试件测试结果的较大值作为该组试件的代表值。若有两个试件的测试结果无效，则该组试件的测试结果无效。</w:t>
      </w:r>
    </w:p>
    <w:p w14:paraId="2389D56D">
      <w:pPr>
        <w:pStyle w:val="125"/>
        <w:numPr>
          <w:ilvl w:val="0"/>
          <w:numId w:val="22"/>
        </w:numPr>
        <w:kinsoku/>
        <w:overflowPunct/>
        <w:bidi w:val="0"/>
        <w:spacing w:line="360" w:lineRule="auto"/>
        <w:ind w:left="0" w:leftChars="0" w:firstLine="420" w:firstLineChars="200"/>
        <w:rPr>
          <w:rFonts w:ascii="Times New Roman"/>
          <w:color w:val="auto"/>
          <w:highlight w:val="none"/>
          <w:shd w:val="clear" w:color="000000" w:fill="FFFFFF"/>
        </w:rPr>
      </w:pPr>
      <w:r>
        <w:rPr>
          <w:rFonts w:hint="default" w:ascii="Times New Roman"/>
          <w:color w:val="auto"/>
          <w:highlight w:val="none"/>
          <w:shd w:val="clear" w:color="000000" w:fill="FFFFFF"/>
        </w:rPr>
        <w:t>在初始毛细吸水速率三个测试结果的最大值或最小值中，若只有一个与其中间值的差值超过中间值的20％时，则取中间值作为该组</w:t>
      </w:r>
      <w:r>
        <w:rPr>
          <w:rFonts w:hint="eastAsia" w:ascii="Times New Roman"/>
          <w:color w:val="auto"/>
          <w:highlight w:val="none"/>
          <w:shd w:val="clear" w:color="000000" w:fill="FFFFFF"/>
          <w:lang w:eastAsia="zh"/>
        </w:rPr>
        <w:t>超高性能混凝土</w:t>
      </w:r>
      <w:r>
        <w:rPr>
          <w:rFonts w:hint="default" w:ascii="Times New Roman"/>
          <w:color w:val="auto"/>
          <w:highlight w:val="none"/>
          <w:shd w:val="clear" w:color="000000" w:fill="FFFFFF"/>
        </w:rPr>
        <w:t>试件的代表值；若最大值和最小值与中间值的差值均超过中间值的20％时，则该组试件的测试结果无效。</w:t>
      </w:r>
    </w:p>
    <w:p w14:paraId="5F6D9ADB">
      <w:pPr>
        <w:keepNext w:val="0"/>
        <w:keepLines w:val="0"/>
        <w:pageBreakBefore w:val="0"/>
        <w:widowControl w:val="0"/>
        <w:numPr>
          <w:ilvl w:val="0"/>
          <w:numId w:val="0"/>
        </w:numPr>
        <w:kinsoku/>
        <w:wordWrap/>
        <w:overflowPunct/>
        <w:autoSpaceDE/>
        <w:autoSpaceDN/>
        <w:bidi w:val="0"/>
        <w:spacing w:before="156" w:beforeLines="50" w:after="156" w:afterLines="50" w:line="360" w:lineRule="auto"/>
        <w:ind w:leftChars="0"/>
        <w:textAlignment w:val="auto"/>
        <w:outlineLvl w:val="9"/>
        <w:rPr>
          <w:rFonts w:hint="default" w:ascii="Times New Roman" w:hAnsi="Times New Roman" w:eastAsia="宋体" w:cs="Times New Roman"/>
          <w:b w:val="0"/>
          <w:bCs w:val="0"/>
          <w:color w:val="auto"/>
          <w:szCs w:val="20"/>
          <w:highlight w:val="none"/>
          <w:lang w:val="en-US" w:eastAsia="zh-CN"/>
        </w:rPr>
      </w:pPr>
    </w:p>
    <w:p w14:paraId="5BAA413B">
      <w:pPr>
        <w:kinsoku/>
        <w:overflowPunct/>
        <w:bidi w:val="0"/>
        <w:spacing w:before="0" w:beforeLines="-2147483648" w:after="0" w:afterLines="-2147483648" w:line="360" w:lineRule="auto"/>
        <w:jc w:val="left"/>
        <w:outlineLvl w:val="9"/>
        <w:rPr>
          <w:rFonts w:hint="eastAsia" w:eastAsia="黑体"/>
          <w:color w:val="auto"/>
          <w:szCs w:val="21"/>
          <w:highlight w:val="none"/>
        </w:rPr>
      </w:pPr>
      <w:r>
        <w:rPr>
          <w:rFonts w:hint="eastAsia" w:eastAsia="黑体"/>
          <w:color w:val="auto"/>
          <w:szCs w:val="21"/>
          <w:highlight w:val="none"/>
        </w:rPr>
        <w:br w:type="page"/>
      </w:r>
    </w:p>
    <w:p w14:paraId="4401EE21">
      <w:pPr>
        <w:kinsoku/>
        <w:overflowPunct/>
        <w:bidi w:val="0"/>
        <w:spacing w:before="156" w:beforeLines="50" w:after="156" w:afterLines="50" w:line="360" w:lineRule="auto"/>
        <w:jc w:val="center"/>
        <w:outlineLvl w:val="0"/>
        <w:rPr>
          <w:rFonts w:eastAsia="黑体"/>
          <w:color w:val="auto"/>
          <w:szCs w:val="21"/>
          <w:highlight w:val="none"/>
        </w:rPr>
      </w:pPr>
      <w:bookmarkStart w:id="189" w:name="_Toc8616"/>
      <w:r>
        <w:rPr>
          <w:rFonts w:hint="eastAsia" w:eastAsia="黑体"/>
          <w:color w:val="auto"/>
          <w:szCs w:val="21"/>
          <w:highlight w:val="none"/>
        </w:rPr>
        <w:t>附录</w:t>
      </w:r>
      <w:r>
        <w:rPr>
          <w:rFonts w:hint="eastAsia" w:eastAsia="黑体"/>
          <w:color w:val="auto"/>
          <w:szCs w:val="21"/>
          <w:highlight w:val="none"/>
          <w:lang w:val="en-US" w:eastAsia="zh-CN"/>
        </w:rPr>
        <w:t>A</w:t>
      </w:r>
      <w:r>
        <w:rPr>
          <w:rFonts w:hint="eastAsia" w:eastAsia="黑体"/>
          <w:color w:val="auto"/>
          <w:szCs w:val="21"/>
          <w:highlight w:val="none"/>
        </w:rPr>
        <w:t>（资料性附录） 超高性能混凝土动态压缩试验</w:t>
      </w:r>
      <w:r>
        <w:rPr>
          <w:rFonts w:hint="eastAsia" w:eastAsia="黑体"/>
          <w:color w:val="auto"/>
          <w:szCs w:val="21"/>
          <w:highlight w:val="none"/>
          <w:lang w:val="en-US" w:eastAsia="zh-CN"/>
        </w:rPr>
        <w:t>示例</w:t>
      </w:r>
      <w:bookmarkEnd w:id="189"/>
    </w:p>
    <w:p w14:paraId="39C4220A">
      <w:pPr>
        <w:pStyle w:val="53"/>
        <w:kinsoku/>
        <w:overflowPunct/>
        <w:bidi w:val="0"/>
        <w:spacing w:line="360" w:lineRule="auto"/>
        <w:ind w:firstLine="316"/>
        <w:jc w:val="left"/>
        <w:rPr>
          <w:b/>
          <w:bCs w:val="0"/>
          <w:color w:val="auto"/>
          <w:highlight w:val="none"/>
        </w:rPr>
      </w:pPr>
      <w:r>
        <w:rPr>
          <w:rFonts w:hint="eastAsia"/>
          <w:b/>
          <w:bCs w:val="0"/>
          <w:color w:val="auto"/>
          <w:highlight w:val="none"/>
          <w:lang w:val="en-US" w:eastAsia="zh-CN"/>
        </w:rPr>
        <w:t>A</w:t>
      </w:r>
      <w:r>
        <w:rPr>
          <w:rFonts w:hint="eastAsia"/>
          <w:b/>
          <w:bCs w:val="0"/>
          <w:color w:val="auto"/>
          <w:highlight w:val="none"/>
        </w:rPr>
        <w:t>.1 试样描述</w:t>
      </w:r>
    </w:p>
    <w:p w14:paraId="28BB6ADB">
      <w:pPr>
        <w:pStyle w:val="53"/>
        <w:kinsoku/>
        <w:overflowPunct/>
        <w:bidi w:val="0"/>
        <w:spacing w:line="360" w:lineRule="auto"/>
        <w:ind w:firstLine="420" w:firstLineChars="200"/>
        <w:rPr>
          <w:color w:val="auto"/>
          <w:highlight w:val="none"/>
        </w:rPr>
      </w:pPr>
      <w:r>
        <w:rPr>
          <w:rFonts w:hint="eastAsia"/>
          <w:color w:val="auto"/>
          <w:highlight w:val="none"/>
        </w:rPr>
        <w:t>本试验为超高性能混凝土的动态压缩试验，试样为自制，超高性能混凝土配合比见表</w:t>
      </w:r>
      <w:r>
        <w:rPr>
          <w:rFonts w:hint="eastAsia"/>
          <w:color w:val="auto"/>
          <w:highlight w:val="none"/>
          <w:lang w:val="en-US" w:eastAsia="zh-CN"/>
        </w:rPr>
        <w:t>A</w:t>
      </w:r>
      <w:r>
        <w:rPr>
          <w:rFonts w:hint="eastAsia"/>
          <w:color w:val="auto"/>
          <w:highlight w:val="none"/>
        </w:rPr>
        <w:t>.1.1。</w:t>
      </w:r>
    </w:p>
    <w:p w14:paraId="44B6B3CE">
      <w:pPr>
        <w:pStyle w:val="53"/>
        <w:kinsoku/>
        <w:overflowPunct/>
        <w:bidi w:val="0"/>
        <w:spacing w:line="360" w:lineRule="auto"/>
        <w:ind w:firstLine="0" w:firstLineChars="0"/>
        <w:jc w:val="center"/>
        <w:rPr>
          <w:bCs w:val="0"/>
          <w:color w:val="auto"/>
          <w:kern w:val="2"/>
          <w:szCs w:val="24"/>
          <w:highlight w:val="none"/>
        </w:rPr>
      </w:pPr>
      <w:r>
        <w:rPr>
          <w:rFonts w:hint="eastAsia"/>
          <w:bCs w:val="0"/>
          <w:color w:val="auto"/>
          <w:kern w:val="2"/>
          <w:szCs w:val="24"/>
          <w:highlight w:val="none"/>
        </w:rPr>
        <w:t>表</w:t>
      </w:r>
      <w:r>
        <w:rPr>
          <w:rFonts w:hint="eastAsia"/>
          <w:bCs w:val="0"/>
          <w:color w:val="auto"/>
          <w:kern w:val="2"/>
          <w:szCs w:val="24"/>
          <w:highlight w:val="none"/>
          <w:lang w:eastAsia="zh-CN"/>
        </w:rPr>
        <w:t>A.</w:t>
      </w:r>
      <w:r>
        <w:rPr>
          <w:rFonts w:hint="eastAsia"/>
          <w:bCs w:val="0"/>
          <w:color w:val="auto"/>
          <w:kern w:val="2"/>
          <w:szCs w:val="24"/>
          <w:highlight w:val="none"/>
        </w:rPr>
        <w:t>1.1 试验用超高性能混凝土配合比（kg/m</w:t>
      </w:r>
      <w:r>
        <w:rPr>
          <w:rFonts w:hint="eastAsia"/>
          <w:bCs w:val="0"/>
          <w:color w:val="auto"/>
          <w:kern w:val="2"/>
          <w:szCs w:val="24"/>
          <w:highlight w:val="none"/>
          <w:vertAlign w:val="superscript"/>
        </w:rPr>
        <w:t>3</w:t>
      </w:r>
      <w:r>
        <w:rPr>
          <w:rFonts w:hint="eastAsia"/>
          <w:bCs w:val="0"/>
          <w:color w:val="auto"/>
          <w:kern w:val="2"/>
          <w:szCs w:val="24"/>
          <w:highlight w:val="none"/>
        </w:rPr>
        <w:t>）</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011"/>
        <w:gridCol w:w="1342"/>
        <w:gridCol w:w="1342"/>
        <w:gridCol w:w="1342"/>
        <w:gridCol w:w="1342"/>
        <w:gridCol w:w="1342"/>
        <w:gridCol w:w="840"/>
      </w:tblGrid>
      <w:tr w14:paraId="3ECE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8" w:type="pct"/>
            <w:noWrap/>
            <w:vAlign w:val="center"/>
          </w:tcPr>
          <w:p w14:paraId="0367FD00">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eastAsia" w:ascii="宋体" w:hAnsi="宋体"/>
                <w:color w:val="auto"/>
                <w:kern w:val="0"/>
                <w:szCs w:val="21"/>
                <w:highlight w:val="none"/>
              </w:rPr>
              <w:t>水泥</w:t>
            </w:r>
          </w:p>
        </w:tc>
        <w:tc>
          <w:tcPr>
            <w:tcW w:w="528" w:type="pct"/>
            <w:noWrap/>
            <w:vAlign w:val="center"/>
          </w:tcPr>
          <w:p w14:paraId="4761967B">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eastAsia" w:ascii="宋体" w:hAnsi="宋体"/>
                <w:color w:val="auto"/>
                <w:kern w:val="0"/>
                <w:szCs w:val="21"/>
                <w:highlight w:val="none"/>
              </w:rPr>
              <w:t>硅灰</w:t>
            </w:r>
          </w:p>
        </w:tc>
        <w:tc>
          <w:tcPr>
            <w:tcW w:w="701" w:type="pct"/>
            <w:noWrap/>
            <w:vAlign w:val="center"/>
          </w:tcPr>
          <w:p w14:paraId="05D6D058">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eastAsia" w:ascii="宋体" w:hAnsi="宋体"/>
                <w:color w:val="auto"/>
                <w:kern w:val="0"/>
                <w:szCs w:val="21"/>
                <w:highlight w:val="none"/>
              </w:rPr>
              <w:t>降粘剂</w:t>
            </w:r>
          </w:p>
        </w:tc>
        <w:tc>
          <w:tcPr>
            <w:tcW w:w="701" w:type="pct"/>
            <w:noWrap/>
            <w:vAlign w:val="center"/>
          </w:tcPr>
          <w:p w14:paraId="1D03636A">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eastAsia" w:ascii="宋体" w:hAnsi="宋体"/>
                <w:color w:val="auto"/>
                <w:kern w:val="0"/>
                <w:szCs w:val="21"/>
                <w:highlight w:val="none"/>
              </w:rPr>
              <w:t>矿渣粉</w:t>
            </w:r>
          </w:p>
        </w:tc>
        <w:tc>
          <w:tcPr>
            <w:tcW w:w="701" w:type="pct"/>
            <w:noWrap/>
            <w:vAlign w:val="center"/>
          </w:tcPr>
          <w:p w14:paraId="260989C3">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eastAsia" w:ascii="宋体" w:hAnsi="宋体"/>
                <w:color w:val="auto"/>
                <w:kern w:val="0"/>
                <w:szCs w:val="21"/>
                <w:highlight w:val="none"/>
              </w:rPr>
              <w:t>石英砂</w:t>
            </w:r>
          </w:p>
        </w:tc>
        <w:tc>
          <w:tcPr>
            <w:tcW w:w="701" w:type="pct"/>
            <w:noWrap/>
            <w:vAlign w:val="center"/>
          </w:tcPr>
          <w:p w14:paraId="006463CF">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eastAsia" w:ascii="宋体" w:hAnsi="宋体"/>
                <w:color w:val="auto"/>
                <w:kern w:val="0"/>
                <w:szCs w:val="21"/>
                <w:highlight w:val="none"/>
              </w:rPr>
              <w:t>石英粉</w:t>
            </w:r>
          </w:p>
        </w:tc>
        <w:tc>
          <w:tcPr>
            <w:tcW w:w="701" w:type="pct"/>
            <w:noWrap/>
            <w:vAlign w:val="center"/>
          </w:tcPr>
          <w:p w14:paraId="26559F91">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eastAsia" w:ascii="宋体" w:hAnsi="宋体"/>
                <w:color w:val="auto"/>
                <w:kern w:val="0"/>
                <w:szCs w:val="21"/>
                <w:highlight w:val="none"/>
              </w:rPr>
              <w:t>钢纤维</w:t>
            </w:r>
          </w:p>
        </w:tc>
        <w:tc>
          <w:tcPr>
            <w:tcW w:w="440" w:type="pct"/>
            <w:noWrap/>
            <w:vAlign w:val="center"/>
          </w:tcPr>
          <w:p w14:paraId="3DD74D54">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eastAsia" w:ascii="宋体" w:hAnsi="宋体"/>
                <w:color w:val="auto"/>
                <w:kern w:val="0"/>
                <w:szCs w:val="21"/>
                <w:highlight w:val="none"/>
              </w:rPr>
              <w:t>水</w:t>
            </w:r>
          </w:p>
        </w:tc>
      </w:tr>
      <w:tr w14:paraId="055B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8" w:type="pct"/>
            <w:noWrap/>
            <w:vAlign w:val="center"/>
          </w:tcPr>
          <w:p w14:paraId="43077B85">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default"/>
                <w:color w:val="auto"/>
                <w:kern w:val="0"/>
                <w:szCs w:val="21"/>
                <w:highlight w:val="none"/>
              </w:rPr>
              <w:t>632</w:t>
            </w:r>
          </w:p>
        </w:tc>
        <w:tc>
          <w:tcPr>
            <w:tcW w:w="528" w:type="pct"/>
            <w:noWrap/>
            <w:vAlign w:val="center"/>
          </w:tcPr>
          <w:p w14:paraId="111A7822">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default"/>
                <w:color w:val="auto"/>
                <w:kern w:val="0"/>
                <w:szCs w:val="21"/>
                <w:highlight w:val="none"/>
              </w:rPr>
              <w:t>97</w:t>
            </w:r>
          </w:p>
        </w:tc>
        <w:tc>
          <w:tcPr>
            <w:tcW w:w="701" w:type="pct"/>
            <w:noWrap/>
            <w:vAlign w:val="center"/>
          </w:tcPr>
          <w:p w14:paraId="3F7F6986">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default"/>
                <w:color w:val="auto"/>
                <w:kern w:val="0"/>
                <w:szCs w:val="21"/>
                <w:highlight w:val="none"/>
              </w:rPr>
              <w:t>146</w:t>
            </w:r>
          </w:p>
        </w:tc>
        <w:tc>
          <w:tcPr>
            <w:tcW w:w="701" w:type="pct"/>
            <w:noWrap/>
            <w:vAlign w:val="center"/>
          </w:tcPr>
          <w:p w14:paraId="160003DD">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default"/>
                <w:color w:val="auto"/>
                <w:kern w:val="0"/>
                <w:szCs w:val="21"/>
                <w:highlight w:val="none"/>
              </w:rPr>
              <w:t>97</w:t>
            </w:r>
          </w:p>
        </w:tc>
        <w:tc>
          <w:tcPr>
            <w:tcW w:w="701" w:type="pct"/>
            <w:noWrap/>
            <w:vAlign w:val="center"/>
          </w:tcPr>
          <w:p w14:paraId="19A0E205">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eastAsia"/>
                <w:color w:val="auto"/>
                <w:kern w:val="0"/>
                <w:szCs w:val="21"/>
                <w:highlight w:val="none"/>
              </w:rPr>
              <w:t>851</w:t>
            </w:r>
          </w:p>
        </w:tc>
        <w:tc>
          <w:tcPr>
            <w:tcW w:w="701" w:type="pct"/>
            <w:noWrap/>
            <w:vAlign w:val="center"/>
          </w:tcPr>
          <w:p w14:paraId="600EED28">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default"/>
                <w:color w:val="auto"/>
                <w:kern w:val="0"/>
                <w:szCs w:val="21"/>
                <w:highlight w:val="none"/>
              </w:rPr>
              <w:t>284</w:t>
            </w:r>
          </w:p>
        </w:tc>
        <w:tc>
          <w:tcPr>
            <w:tcW w:w="701" w:type="pct"/>
            <w:noWrap/>
            <w:vAlign w:val="center"/>
          </w:tcPr>
          <w:p w14:paraId="37AD13D7">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default"/>
                <w:color w:val="auto"/>
                <w:kern w:val="0"/>
                <w:szCs w:val="21"/>
                <w:highlight w:val="none"/>
              </w:rPr>
              <w:t>158</w:t>
            </w:r>
          </w:p>
        </w:tc>
        <w:tc>
          <w:tcPr>
            <w:tcW w:w="440" w:type="pct"/>
            <w:noWrap/>
            <w:vAlign w:val="center"/>
          </w:tcPr>
          <w:p w14:paraId="05DEDFB3">
            <w:pPr>
              <w:keepNext w:val="0"/>
              <w:keepLines w:val="0"/>
              <w:widowControl/>
              <w:suppressLineNumbers w:val="0"/>
              <w:kinsoku/>
              <w:overflowPunct/>
              <w:bidi w:val="0"/>
              <w:spacing w:before="0" w:beforeAutospacing="0" w:after="0" w:afterAutospacing="0" w:line="360" w:lineRule="auto"/>
              <w:ind w:left="0" w:right="0"/>
              <w:jc w:val="center"/>
              <w:rPr>
                <w:rFonts w:hint="default"/>
                <w:color w:val="auto"/>
                <w:kern w:val="0"/>
                <w:szCs w:val="21"/>
                <w:highlight w:val="none"/>
              </w:rPr>
            </w:pPr>
            <w:r>
              <w:rPr>
                <w:rFonts w:hint="default"/>
                <w:color w:val="auto"/>
                <w:kern w:val="0"/>
                <w:szCs w:val="21"/>
                <w:highlight w:val="none"/>
              </w:rPr>
              <w:t>175</w:t>
            </w:r>
          </w:p>
        </w:tc>
      </w:tr>
    </w:tbl>
    <w:p w14:paraId="15BD0996">
      <w:pPr>
        <w:pStyle w:val="53"/>
        <w:kinsoku/>
        <w:overflowPunct/>
        <w:bidi w:val="0"/>
        <w:spacing w:line="360" w:lineRule="auto"/>
        <w:ind w:firstLine="316"/>
        <w:jc w:val="left"/>
        <w:rPr>
          <w:b/>
          <w:bCs w:val="0"/>
          <w:color w:val="auto"/>
          <w:highlight w:val="none"/>
        </w:rPr>
      </w:pPr>
      <w:r>
        <w:rPr>
          <w:rFonts w:hint="eastAsia"/>
          <w:b/>
          <w:bCs w:val="0"/>
          <w:color w:val="auto"/>
          <w:highlight w:val="none"/>
          <w:lang w:eastAsia="zh-CN"/>
        </w:rPr>
        <w:t>A.</w:t>
      </w:r>
      <w:r>
        <w:rPr>
          <w:rFonts w:hint="eastAsia"/>
          <w:b/>
          <w:bCs w:val="0"/>
          <w:color w:val="auto"/>
          <w:highlight w:val="none"/>
        </w:rPr>
        <w:t>2 实验过程</w:t>
      </w:r>
    </w:p>
    <w:p w14:paraId="15A41E71">
      <w:pPr>
        <w:pStyle w:val="53"/>
        <w:kinsoku/>
        <w:overflowPunct/>
        <w:bidi w:val="0"/>
        <w:spacing w:line="360" w:lineRule="auto"/>
        <w:rPr>
          <w:color w:val="auto"/>
          <w:highlight w:val="none"/>
        </w:rPr>
      </w:pPr>
      <w:r>
        <w:rPr>
          <w:color w:val="auto"/>
          <w:highlight w:val="none"/>
        </w:rPr>
        <w:t>1</w:t>
      </w:r>
      <w:r>
        <w:rPr>
          <w:rFonts w:hint="eastAsia"/>
          <w:color w:val="auto"/>
          <w:highlight w:val="none"/>
        </w:rPr>
        <w:t>）设定试验条件：温度21.3℃，相对湿度55%。</w:t>
      </w:r>
    </w:p>
    <w:p w14:paraId="659EECF4">
      <w:pPr>
        <w:pStyle w:val="53"/>
        <w:kinsoku/>
        <w:overflowPunct/>
        <w:bidi w:val="0"/>
        <w:spacing w:line="360" w:lineRule="auto"/>
        <w:rPr>
          <w:color w:val="auto"/>
          <w:highlight w:val="none"/>
        </w:rPr>
      </w:pPr>
      <w:r>
        <w:rPr>
          <w:color w:val="auto"/>
          <w:highlight w:val="none"/>
        </w:rPr>
        <w:t>2</w:t>
      </w:r>
      <w:r>
        <w:rPr>
          <w:rFonts w:hint="eastAsia"/>
          <w:color w:val="auto"/>
          <w:highlight w:val="none"/>
        </w:rPr>
        <w:t>）按</w:t>
      </w:r>
      <w:r>
        <w:rPr>
          <w:color w:val="auto"/>
          <w:highlight w:val="none"/>
        </w:rPr>
        <w:t>6.14.4</w:t>
      </w:r>
      <w:r>
        <w:rPr>
          <w:rFonts w:hint="eastAsia"/>
          <w:color w:val="auto"/>
          <w:highlight w:val="none"/>
        </w:rPr>
        <w:t>条要求在波导杆中部位置粘贴应变计，布置应变计引线连接数据采集与存储装置。</w:t>
      </w:r>
    </w:p>
    <w:p w14:paraId="06F12A68">
      <w:pPr>
        <w:pStyle w:val="53"/>
        <w:kinsoku/>
        <w:overflowPunct/>
        <w:bidi w:val="0"/>
        <w:spacing w:line="360" w:lineRule="auto"/>
        <w:rPr>
          <w:color w:val="auto"/>
          <w:highlight w:val="none"/>
        </w:rPr>
      </w:pPr>
      <w:r>
        <w:rPr>
          <w:color w:val="auto"/>
          <w:highlight w:val="none"/>
        </w:rPr>
        <w:t>3</w:t>
      </w:r>
      <w:r>
        <w:rPr>
          <w:rFonts w:hint="eastAsia"/>
          <w:color w:val="auto"/>
          <w:highlight w:val="none"/>
        </w:rPr>
        <w:t>）开启测速装置、应变信号采集与存储装置预热至设备稳定。对数据采集系统进行参数设定。</w:t>
      </w:r>
    </w:p>
    <w:p w14:paraId="360718D9">
      <w:pPr>
        <w:pStyle w:val="53"/>
        <w:kinsoku/>
        <w:overflowPunct/>
        <w:bidi w:val="0"/>
        <w:spacing w:line="360" w:lineRule="auto"/>
        <w:rPr>
          <w:color w:val="auto"/>
          <w:highlight w:val="none"/>
        </w:rPr>
      </w:pPr>
      <w:r>
        <w:rPr>
          <w:color w:val="auto"/>
          <w:highlight w:val="none"/>
        </w:rPr>
        <w:t>4</w:t>
      </w:r>
      <w:r>
        <w:rPr>
          <w:rFonts w:hint="eastAsia"/>
          <w:color w:val="auto"/>
          <w:highlight w:val="none"/>
        </w:rPr>
        <w:t>）对系统校正，试验前检查系统对齐情况，将其调齐；之后空冲，确保无反射波产生。</w:t>
      </w:r>
    </w:p>
    <w:p w14:paraId="47E24A84">
      <w:pPr>
        <w:pStyle w:val="53"/>
        <w:kinsoku/>
        <w:overflowPunct/>
        <w:bidi w:val="0"/>
        <w:spacing w:line="360" w:lineRule="auto"/>
        <w:rPr>
          <w:color w:val="auto"/>
          <w:highlight w:val="none"/>
        </w:rPr>
      </w:pPr>
      <w:r>
        <w:rPr>
          <w:rFonts w:hint="eastAsia"/>
          <w:color w:val="auto"/>
          <w:highlight w:val="none"/>
        </w:rPr>
        <w:t>5）将试样两端均匀涂抹一层凡士林，置于输入杆和输出杆中间，与波导杆同轴。同时在试样和输入杆中间加入直径为</w:t>
      </w:r>
      <w:r>
        <w:rPr>
          <w:color w:val="auto"/>
          <w:highlight w:val="none"/>
        </w:rPr>
        <w:t>20mm</w:t>
      </w:r>
      <w:r>
        <w:rPr>
          <w:rFonts w:hint="eastAsia"/>
          <w:color w:val="auto"/>
          <w:highlight w:val="none"/>
        </w:rPr>
        <w:t>、厚度宜为</w:t>
      </w:r>
      <w:r>
        <w:rPr>
          <w:color w:val="auto"/>
          <w:highlight w:val="none"/>
        </w:rPr>
        <w:t>1.0mm</w:t>
      </w:r>
      <w:r>
        <w:rPr>
          <w:rFonts w:hint="eastAsia"/>
          <w:color w:val="auto"/>
          <w:highlight w:val="none"/>
        </w:rPr>
        <w:t>的橡胶圆片作为波形整形器，且与波导杆同轴。</w:t>
      </w:r>
    </w:p>
    <w:p w14:paraId="07113F36">
      <w:pPr>
        <w:pStyle w:val="53"/>
        <w:kinsoku/>
        <w:overflowPunct/>
        <w:bidi w:val="0"/>
        <w:spacing w:line="360" w:lineRule="auto"/>
        <w:rPr>
          <w:color w:val="auto"/>
          <w:highlight w:val="none"/>
        </w:rPr>
      </w:pPr>
      <w:r>
        <w:rPr>
          <w:rFonts w:hint="eastAsia"/>
          <w:color w:val="auto"/>
          <w:highlight w:val="none"/>
        </w:rPr>
        <w:t>6）将测速装置和数据采集系统置于待触发状态，设定冲击速度，调整冲击气压，驱动撞击杆。</w:t>
      </w:r>
    </w:p>
    <w:p w14:paraId="3BB2BC54">
      <w:pPr>
        <w:pStyle w:val="53"/>
        <w:kinsoku/>
        <w:overflowPunct/>
        <w:bidi w:val="0"/>
        <w:spacing w:line="360" w:lineRule="auto"/>
        <w:rPr>
          <w:color w:val="auto"/>
          <w:highlight w:val="none"/>
        </w:rPr>
      </w:pPr>
      <w:r>
        <w:rPr>
          <w:rFonts w:hint="eastAsia"/>
          <w:color w:val="auto"/>
          <w:highlight w:val="none"/>
        </w:rPr>
        <w:t>7）试样在冲击荷载作用下发生破坏，记录撞击杆速度、波导杆应变信号。</w:t>
      </w:r>
    </w:p>
    <w:p w14:paraId="760A06E2">
      <w:pPr>
        <w:pStyle w:val="53"/>
        <w:kinsoku/>
        <w:overflowPunct/>
        <w:bidi w:val="0"/>
        <w:spacing w:line="360" w:lineRule="auto"/>
        <w:ind w:firstLine="316"/>
        <w:jc w:val="left"/>
        <w:rPr>
          <w:b/>
          <w:bCs w:val="0"/>
          <w:color w:val="auto"/>
          <w:highlight w:val="none"/>
        </w:rPr>
      </w:pPr>
      <w:r>
        <w:rPr>
          <w:rFonts w:hint="eastAsia"/>
          <w:b/>
          <w:bCs w:val="0"/>
          <w:color w:val="auto"/>
          <w:highlight w:val="none"/>
          <w:lang w:eastAsia="zh-CN"/>
        </w:rPr>
        <w:t>A.</w:t>
      </w:r>
      <w:r>
        <w:rPr>
          <w:rFonts w:hint="eastAsia"/>
          <w:b/>
          <w:bCs w:val="0"/>
          <w:color w:val="auto"/>
          <w:highlight w:val="none"/>
        </w:rPr>
        <w:t>3 原始波形</w:t>
      </w:r>
    </w:p>
    <w:p w14:paraId="4F4DE307">
      <w:pPr>
        <w:pStyle w:val="53"/>
        <w:kinsoku/>
        <w:overflowPunct/>
        <w:bidi w:val="0"/>
        <w:spacing w:line="360" w:lineRule="auto"/>
        <w:rPr>
          <w:color w:val="auto"/>
          <w:highlight w:val="none"/>
        </w:rPr>
      </w:pPr>
      <w:r>
        <w:rPr>
          <w:rFonts w:hint="eastAsia"/>
          <w:color w:val="auto"/>
          <w:highlight w:val="none"/>
        </w:rPr>
        <w:t>入射波、透射波、反射波原始信号如图</w:t>
      </w:r>
      <w:r>
        <w:rPr>
          <w:rFonts w:hint="eastAsia"/>
          <w:color w:val="auto"/>
          <w:highlight w:val="none"/>
          <w:lang w:eastAsia="zh-CN"/>
        </w:rPr>
        <w:t>A.</w:t>
      </w:r>
      <w:r>
        <w:rPr>
          <w:rFonts w:hint="eastAsia"/>
          <w:color w:val="auto"/>
          <w:highlight w:val="none"/>
        </w:rPr>
        <w:t>1所示，反射波上有段平台，具有明显的恒应变率特征。</w:t>
      </w:r>
    </w:p>
    <w:p w14:paraId="294A2B4E">
      <w:pPr>
        <w:pStyle w:val="53"/>
        <w:kinsoku/>
        <w:overflowPunct/>
        <w:bidi w:val="0"/>
        <w:spacing w:line="360" w:lineRule="auto"/>
        <w:ind w:firstLine="0" w:firstLineChars="0"/>
        <w:jc w:val="center"/>
        <w:rPr>
          <w:rFonts w:hint="eastAsia" w:eastAsia="宋体"/>
          <w:color w:val="auto"/>
          <w:highlight w:val="none"/>
          <w:lang w:eastAsia="zh"/>
        </w:rPr>
      </w:pPr>
      <w:r>
        <w:rPr>
          <w:color w:val="auto"/>
          <w:highlight w:val="none"/>
        </w:rPr>
        <w:drawing>
          <wp:inline distT="0" distB="0" distL="0" distR="0">
            <wp:extent cx="2710180" cy="1889760"/>
            <wp:effectExtent l="0" t="0" r="13970" b="15240"/>
            <wp:docPr id="31147992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79920" name="图片 5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a:xfrm>
                      <a:off x="0" y="0"/>
                      <a:ext cx="2710180" cy="1889760"/>
                    </a:xfrm>
                    <a:prstGeom prst="rect">
                      <a:avLst/>
                    </a:prstGeom>
                    <a:noFill/>
                  </pic:spPr>
                </pic:pic>
              </a:graphicData>
            </a:graphic>
          </wp:inline>
        </w:drawing>
      </w:r>
    </w:p>
    <w:p w14:paraId="54F2D685">
      <w:pPr>
        <w:pStyle w:val="53"/>
        <w:kinsoku/>
        <w:overflowPunct/>
        <w:bidi w:val="0"/>
        <w:spacing w:line="360" w:lineRule="auto"/>
        <w:ind w:firstLine="0" w:firstLineChars="0"/>
        <w:jc w:val="center"/>
        <w:rPr>
          <w:color w:val="auto"/>
          <w:highlight w:val="none"/>
        </w:rPr>
      </w:pPr>
      <w:r>
        <w:rPr>
          <w:rFonts w:hint="eastAsia"/>
          <w:color w:val="auto"/>
          <w:highlight w:val="none"/>
        </w:rPr>
        <w:t>图</w:t>
      </w:r>
      <w:r>
        <w:rPr>
          <w:rFonts w:hint="eastAsia"/>
          <w:color w:val="auto"/>
          <w:highlight w:val="none"/>
          <w:lang w:eastAsia="zh-CN"/>
        </w:rPr>
        <w:t>A.</w:t>
      </w:r>
      <w:r>
        <w:rPr>
          <w:rFonts w:hint="eastAsia"/>
          <w:color w:val="auto"/>
          <w:highlight w:val="none"/>
        </w:rPr>
        <w:t>1 数据采集系统获取的超高性能混凝土动态压缩试验原始信号</w:t>
      </w:r>
    </w:p>
    <w:p w14:paraId="7A0B6F5D">
      <w:pPr>
        <w:pStyle w:val="53"/>
        <w:kinsoku/>
        <w:overflowPunct/>
        <w:bidi w:val="0"/>
        <w:spacing w:line="360" w:lineRule="auto"/>
        <w:ind w:firstLine="316"/>
        <w:rPr>
          <w:b/>
          <w:bCs w:val="0"/>
          <w:color w:val="auto"/>
          <w:highlight w:val="none"/>
        </w:rPr>
      </w:pPr>
      <w:r>
        <w:rPr>
          <w:rFonts w:hint="eastAsia"/>
          <w:b/>
          <w:bCs w:val="0"/>
          <w:color w:val="auto"/>
          <w:highlight w:val="none"/>
          <w:lang w:eastAsia="zh-CN"/>
        </w:rPr>
        <w:t>A.</w:t>
      </w:r>
      <w:r>
        <w:rPr>
          <w:rFonts w:hint="eastAsia"/>
          <w:b/>
          <w:bCs w:val="0"/>
          <w:color w:val="auto"/>
          <w:highlight w:val="none"/>
        </w:rPr>
        <w:t>4 数据处理</w:t>
      </w:r>
    </w:p>
    <w:p w14:paraId="041FE86F">
      <w:pPr>
        <w:pStyle w:val="53"/>
        <w:kinsoku/>
        <w:overflowPunct/>
        <w:bidi w:val="0"/>
        <w:spacing w:line="360" w:lineRule="auto"/>
        <w:rPr>
          <w:color w:val="auto"/>
          <w:highlight w:val="none"/>
        </w:rPr>
      </w:pPr>
      <w:r>
        <w:rPr>
          <w:rFonts w:hint="eastAsia"/>
          <w:color w:val="auto"/>
          <w:highlight w:val="none"/>
        </w:rPr>
        <w:t>将由零点漂移引起的应力偏差校零，计算入射端应力，并微调各波起点，使其达到应力平衡状态。利用波形拾取方法截取出有效的电压信号，计算出各弹性杆及试样内的初始应力波。对比透射波和比较波可见入射端应力与透射应力偏差较小，基本符合应力平衡条件。</w:t>
      </w:r>
    </w:p>
    <w:p w14:paraId="06EB01E9">
      <w:pPr>
        <w:pStyle w:val="53"/>
        <w:kinsoku/>
        <w:overflowPunct/>
        <w:bidi w:val="0"/>
        <w:spacing w:line="360" w:lineRule="auto"/>
        <w:jc w:val="center"/>
        <w:rPr>
          <w:rFonts w:hint="eastAsia" w:eastAsia="宋体"/>
          <w:color w:val="auto"/>
          <w:highlight w:val="none"/>
          <w:lang w:eastAsia="zh"/>
        </w:rPr>
      </w:pPr>
      <w:r>
        <w:rPr>
          <w:color w:val="auto"/>
          <w:highlight w:val="none"/>
        </w:rPr>
        <w:drawing>
          <wp:inline distT="0" distB="0" distL="0" distR="0">
            <wp:extent cx="3745230" cy="2610485"/>
            <wp:effectExtent l="0" t="0" r="7620" b="18415"/>
            <wp:docPr id="169100885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08852" name="图片 5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a:xfrm>
                      <a:off x="0" y="0"/>
                      <a:ext cx="3745230" cy="2610485"/>
                    </a:xfrm>
                    <a:prstGeom prst="rect">
                      <a:avLst/>
                    </a:prstGeom>
                    <a:noFill/>
                  </pic:spPr>
                </pic:pic>
              </a:graphicData>
            </a:graphic>
          </wp:inline>
        </w:drawing>
      </w:r>
    </w:p>
    <w:p w14:paraId="2DB3D011">
      <w:pPr>
        <w:pStyle w:val="53"/>
        <w:kinsoku/>
        <w:overflowPunct/>
        <w:bidi w:val="0"/>
        <w:spacing w:line="360" w:lineRule="auto"/>
        <w:ind w:firstLine="0" w:firstLineChars="0"/>
        <w:jc w:val="center"/>
        <w:rPr>
          <w:color w:val="auto"/>
          <w:highlight w:val="none"/>
        </w:rPr>
      </w:pPr>
      <w:r>
        <w:rPr>
          <w:rFonts w:hint="eastAsia"/>
          <w:color w:val="auto"/>
          <w:highlight w:val="none"/>
        </w:rPr>
        <w:t>图</w:t>
      </w:r>
      <w:r>
        <w:rPr>
          <w:rFonts w:hint="eastAsia"/>
          <w:color w:val="auto"/>
          <w:highlight w:val="none"/>
          <w:lang w:eastAsia="zh-CN"/>
        </w:rPr>
        <w:t>A.</w:t>
      </w:r>
      <w:r>
        <w:rPr>
          <w:rFonts w:hint="eastAsia"/>
          <w:color w:val="auto"/>
          <w:highlight w:val="none"/>
        </w:rPr>
        <w:t>2 动态压缩试验波形基线、波形起点的确定、对齐波形及应力平衡检验</w:t>
      </w:r>
    </w:p>
    <w:p w14:paraId="37F07E82">
      <w:pPr>
        <w:pStyle w:val="53"/>
        <w:kinsoku/>
        <w:overflowPunct/>
        <w:bidi w:val="0"/>
        <w:spacing w:line="360" w:lineRule="auto"/>
        <w:ind w:firstLine="420" w:firstLineChars="200"/>
        <w:rPr>
          <w:color w:val="auto"/>
          <w:highlight w:val="none"/>
        </w:rPr>
      </w:pPr>
      <w:r>
        <w:rPr>
          <w:rFonts w:hint="eastAsia"/>
          <w:color w:val="auto"/>
          <w:highlight w:val="none"/>
        </w:rPr>
        <w:t>确定试件破坏情况，确定完整试验结束点。计算出试样内部的应力、应变、应变率时程曲线和应力—应变曲线如图</w:t>
      </w:r>
      <w:r>
        <w:rPr>
          <w:rFonts w:hint="eastAsia"/>
          <w:color w:val="auto"/>
          <w:highlight w:val="none"/>
          <w:lang w:eastAsia="zh-CN"/>
        </w:rPr>
        <w:t>A.</w:t>
      </w:r>
      <w:r>
        <w:rPr>
          <w:rFonts w:hint="eastAsia"/>
          <w:color w:val="auto"/>
          <w:highlight w:val="none"/>
        </w:rPr>
        <w:t>3所示。由应力-应变曲线可以得到动态抗压强度为349.7MPa，峰值应变为0.94%；计算应变率处于平台阶段的平均应变率为78.5s</w:t>
      </w:r>
      <w:r>
        <w:rPr>
          <w:rFonts w:hint="eastAsia"/>
          <w:color w:val="auto"/>
          <w:highlight w:val="none"/>
          <w:vertAlign w:val="superscript"/>
        </w:rPr>
        <w:t>-1</w:t>
      </w:r>
      <w:r>
        <w:rPr>
          <w:rFonts w:hint="eastAsia"/>
          <w:color w:val="auto"/>
          <w:highlight w:val="none"/>
        </w:rPr>
        <w:t>。</w:t>
      </w:r>
    </w:p>
    <w:p w14:paraId="5EF91D7F">
      <w:pPr>
        <w:pStyle w:val="53"/>
        <w:kinsoku/>
        <w:overflowPunct/>
        <w:bidi w:val="0"/>
        <w:spacing w:line="360" w:lineRule="auto"/>
        <w:jc w:val="center"/>
        <w:rPr>
          <w:color w:val="auto"/>
          <w:highlight w:val="none"/>
        </w:rPr>
      </w:pPr>
      <w:r>
        <w:rPr>
          <w:color w:val="auto"/>
          <w:highlight w:val="none"/>
        </w:rPr>
        <w:drawing>
          <wp:inline distT="0" distB="0" distL="0" distR="0">
            <wp:extent cx="3599815" cy="2510155"/>
            <wp:effectExtent l="0" t="0" r="635" b="4445"/>
            <wp:docPr id="1882414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14626" name="图片 1"/>
                    <pic:cNvPicPr>
                      <a:picLocks noChangeAspect="1"/>
                    </pic:cNvPicPr>
                  </pic:nvPicPr>
                  <pic:blipFill>
                    <a:blip r:embed="rId286"/>
                    <a:stretch>
                      <a:fillRect/>
                    </a:stretch>
                  </pic:blipFill>
                  <pic:spPr>
                    <a:xfrm>
                      <a:off x="0" y="0"/>
                      <a:ext cx="3600000" cy="2510577"/>
                    </a:xfrm>
                    <a:prstGeom prst="rect">
                      <a:avLst/>
                    </a:prstGeom>
                  </pic:spPr>
                </pic:pic>
              </a:graphicData>
            </a:graphic>
          </wp:inline>
        </w:drawing>
      </w:r>
    </w:p>
    <w:p w14:paraId="47B7D037">
      <w:pPr>
        <w:pStyle w:val="53"/>
        <w:kinsoku/>
        <w:overflowPunct/>
        <w:bidi w:val="0"/>
        <w:spacing w:line="360" w:lineRule="auto"/>
        <w:jc w:val="center"/>
        <w:rPr>
          <w:color w:val="auto"/>
          <w:highlight w:val="none"/>
        </w:rPr>
      </w:pPr>
      <w:r>
        <w:rPr>
          <w:rFonts w:hint="eastAsia"/>
          <w:color w:val="auto"/>
          <w:highlight w:val="none"/>
        </w:rPr>
        <w:t>（a）应力时程曲线</w:t>
      </w:r>
    </w:p>
    <w:p w14:paraId="27CFAA9B">
      <w:pPr>
        <w:pStyle w:val="53"/>
        <w:kinsoku/>
        <w:overflowPunct/>
        <w:bidi w:val="0"/>
        <w:spacing w:line="360" w:lineRule="auto"/>
        <w:jc w:val="center"/>
        <w:rPr>
          <w:color w:val="auto"/>
          <w:highlight w:val="none"/>
        </w:rPr>
      </w:pPr>
      <w:r>
        <w:rPr>
          <w:color w:val="auto"/>
          <w:highlight w:val="none"/>
        </w:rPr>
        <w:drawing>
          <wp:inline distT="0" distB="0" distL="0" distR="0">
            <wp:extent cx="2756535" cy="1922145"/>
            <wp:effectExtent l="0" t="0" r="5715" b="1905"/>
            <wp:docPr id="902796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96373" name="图片 1"/>
                    <pic:cNvPicPr>
                      <a:picLocks noChangeAspect="1"/>
                    </pic:cNvPicPr>
                  </pic:nvPicPr>
                  <pic:blipFill>
                    <a:blip r:embed="rId287"/>
                    <a:stretch>
                      <a:fillRect/>
                    </a:stretch>
                  </pic:blipFill>
                  <pic:spPr>
                    <a:xfrm>
                      <a:off x="0" y="0"/>
                      <a:ext cx="2756535" cy="1922145"/>
                    </a:xfrm>
                    <a:prstGeom prst="rect">
                      <a:avLst/>
                    </a:prstGeom>
                  </pic:spPr>
                </pic:pic>
              </a:graphicData>
            </a:graphic>
          </wp:inline>
        </w:drawing>
      </w:r>
    </w:p>
    <w:p w14:paraId="28680840">
      <w:pPr>
        <w:pStyle w:val="53"/>
        <w:kinsoku/>
        <w:overflowPunct/>
        <w:bidi w:val="0"/>
        <w:spacing w:line="360" w:lineRule="auto"/>
        <w:jc w:val="center"/>
        <w:rPr>
          <w:color w:val="auto"/>
          <w:highlight w:val="none"/>
        </w:rPr>
      </w:pPr>
      <w:r>
        <w:rPr>
          <w:rFonts w:hint="eastAsia"/>
          <w:color w:val="auto"/>
          <w:highlight w:val="none"/>
        </w:rPr>
        <w:t>（b）应变时程曲线</w:t>
      </w:r>
    </w:p>
    <w:p w14:paraId="4E8AFC79">
      <w:pPr>
        <w:pStyle w:val="53"/>
        <w:kinsoku/>
        <w:overflowPunct/>
        <w:bidi w:val="0"/>
        <w:spacing w:line="360" w:lineRule="auto"/>
        <w:jc w:val="center"/>
        <w:rPr>
          <w:color w:val="auto"/>
          <w:highlight w:val="none"/>
        </w:rPr>
      </w:pPr>
      <w:r>
        <w:rPr>
          <w:color w:val="auto"/>
          <w:highlight w:val="none"/>
        </w:rPr>
        <w:drawing>
          <wp:inline distT="0" distB="0" distL="0" distR="0">
            <wp:extent cx="2879725" cy="2007870"/>
            <wp:effectExtent l="0" t="0" r="15875" b="11430"/>
            <wp:docPr id="2020233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33379" name="图片 1"/>
                    <pic:cNvPicPr>
                      <a:picLocks noChangeAspect="1"/>
                    </pic:cNvPicPr>
                  </pic:nvPicPr>
                  <pic:blipFill>
                    <a:blip r:embed="rId288"/>
                    <a:stretch>
                      <a:fillRect/>
                    </a:stretch>
                  </pic:blipFill>
                  <pic:spPr>
                    <a:xfrm>
                      <a:off x="0" y="0"/>
                      <a:ext cx="2879725" cy="2007870"/>
                    </a:xfrm>
                    <a:prstGeom prst="rect">
                      <a:avLst/>
                    </a:prstGeom>
                  </pic:spPr>
                </pic:pic>
              </a:graphicData>
            </a:graphic>
          </wp:inline>
        </w:drawing>
      </w:r>
    </w:p>
    <w:p w14:paraId="0DE9583C">
      <w:pPr>
        <w:pStyle w:val="53"/>
        <w:kinsoku/>
        <w:overflowPunct/>
        <w:bidi w:val="0"/>
        <w:spacing w:line="360" w:lineRule="auto"/>
        <w:jc w:val="center"/>
        <w:rPr>
          <w:color w:val="auto"/>
          <w:highlight w:val="none"/>
        </w:rPr>
      </w:pPr>
      <w:r>
        <w:rPr>
          <w:rFonts w:hint="eastAsia"/>
          <w:color w:val="auto"/>
          <w:highlight w:val="none"/>
        </w:rPr>
        <w:t>（c）应变率时程曲线</w:t>
      </w:r>
    </w:p>
    <w:p w14:paraId="7E63094F">
      <w:pPr>
        <w:pStyle w:val="53"/>
        <w:kinsoku/>
        <w:overflowPunct/>
        <w:bidi w:val="0"/>
        <w:spacing w:line="360" w:lineRule="auto"/>
        <w:jc w:val="center"/>
        <w:rPr>
          <w:color w:val="auto"/>
          <w:highlight w:val="none"/>
        </w:rPr>
      </w:pPr>
      <w:r>
        <w:rPr>
          <w:color w:val="auto"/>
          <w:highlight w:val="none"/>
        </w:rPr>
        <w:drawing>
          <wp:inline distT="0" distB="0" distL="0" distR="0">
            <wp:extent cx="3136900" cy="2581910"/>
            <wp:effectExtent l="0" t="0" r="6350" b="8890"/>
            <wp:docPr id="309281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81134" name="图片 1"/>
                    <pic:cNvPicPr>
                      <a:picLocks noChangeAspect="1"/>
                    </pic:cNvPicPr>
                  </pic:nvPicPr>
                  <pic:blipFill>
                    <a:blip r:embed="rId289"/>
                    <a:stretch>
                      <a:fillRect/>
                    </a:stretch>
                  </pic:blipFill>
                  <pic:spPr>
                    <a:xfrm>
                      <a:off x="0" y="0"/>
                      <a:ext cx="3136900" cy="2581910"/>
                    </a:xfrm>
                    <a:prstGeom prst="rect">
                      <a:avLst/>
                    </a:prstGeom>
                  </pic:spPr>
                </pic:pic>
              </a:graphicData>
            </a:graphic>
          </wp:inline>
        </w:drawing>
      </w:r>
    </w:p>
    <w:p w14:paraId="46B31D98">
      <w:pPr>
        <w:pStyle w:val="53"/>
        <w:kinsoku/>
        <w:overflowPunct/>
        <w:bidi w:val="0"/>
        <w:spacing w:line="360" w:lineRule="auto"/>
        <w:jc w:val="center"/>
        <w:rPr>
          <w:color w:val="auto"/>
          <w:highlight w:val="none"/>
        </w:rPr>
      </w:pPr>
      <w:r>
        <w:rPr>
          <w:rFonts w:hint="eastAsia"/>
          <w:color w:val="auto"/>
          <w:highlight w:val="none"/>
        </w:rPr>
        <w:t>（d）应力—应变曲线</w:t>
      </w:r>
    </w:p>
    <w:p w14:paraId="730ECD53">
      <w:pPr>
        <w:pStyle w:val="53"/>
        <w:kinsoku/>
        <w:overflowPunct/>
        <w:bidi w:val="0"/>
        <w:spacing w:line="360" w:lineRule="auto"/>
        <w:jc w:val="center"/>
        <w:rPr>
          <w:color w:val="auto"/>
          <w:highlight w:val="none"/>
        </w:rPr>
      </w:pPr>
      <w:r>
        <w:rPr>
          <w:rFonts w:hint="eastAsia"/>
          <w:color w:val="auto"/>
          <w:highlight w:val="none"/>
        </w:rPr>
        <w:t>图</w:t>
      </w:r>
      <w:r>
        <w:rPr>
          <w:rFonts w:hint="eastAsia"/>
          <w:color w:val="auto"/>
          <w:highlight w:val="none"/>
          <w:lang w:eastAsia="zh-CN"/>
        </w:rPr>
        <w:t>A.</w:t>
      </w:r>
      <w:r>
        <w:rPr>
          <w:rFonts w:hint="eastAsia"/>
          <w:color w:val="auto"/>
          <w:highlight w:val="none"/>
        </w:rPr>
        <w:t>3 应力、应变、应变率时程曲线和应力—应变曲线</w:t>
      </w:r>
    </w:p>
    <w:p w14:paraId="3974753E">
      <w:pPr>
        <w:pStyle w:val="53"/>
        <w:kinsoku/>
        <w:overflowPunct/>
        <w:bidi w:val="0"/>
        <w:spacing w:line="360" w:lineRule="auto"/>
        <w:ind w:firstLine="316"/>
        <w:rPr>
          <w:b/>
          <w:bCs w:val="0"/>
          <w:color w:val="auto"/>
          <w:highlight w:val="none"/>
        </w:rPr>
      </w:pPr>
      <w:r>
        <w:rPr>
          <w:rFonts w:hint="eastAsia"/>
          <w:b/>
          <w:bCs w:val="0"/>
          <w:color w:val="auto"/>
          <w:highlight w:val="none"/>
          <w:lang w:eastAsia="zh-CN"/>
        </w:rPr>
        <w:t>A.</w:t>
      </w:r>
      <w:r>
        <w:rPr>
          <w:rFonts w:hint="eastAsia"/>
          <w:b/>
          <w:bCs w:val="0"/>
          <w:color w:val="auto"/>
          <w:highlight w:val="none"/>
        </w:rPr>
        <w:t>5 试样破坏模式</w:t>
      </w:r>
    </w:p>
    <w:p w14:paraId="7C0F4B28">
      <w:pPr>
        <w:pStyle w:val="53"/>
        <w:kinsoku/>
        <w:overflowPunct/>
        <w:bidi w:val="0"/>
        <w:spacing w:line="360" w:lineRule="auto"/>
        <w:rPr>
          <w:color w:val="auto"/>
          <w:highlight w:val="none"/>
        </w:rPr>
      </w:pPr>
      <w:r>
        <w:rPr>
          <w:rFonts w:hint="eastAsia"/>
          <w:color w:val="auto"/>
          <w:highlight w:val="none"/>
        </w:rPr>
        <w:t>在冲击加载下，试样发生典型的轴向劈裂张拉破坏，试样表面产生多条平行于加载方向的宏观裂纹,如图</w:t>
      </w:r>
      <w:r>
        <w:rPr>
          <w:rFonts w:hint="eastAsia"/>
          <w:color w:val="auto"/>
          <w:highlight w:val="none"/>
          <w:lang w:eastAsia="zh-CN"/>
        </w:rPr>
        <w:t>A.</w:t>
      </w:r>
      <w:r>
        <w:rPr>
          <w:rFonts w:hint="eastAsia"/>
          <w:color w:val="auto"/>
          <w:highlight w:val="none"/>
        </w:rPr>
        <w:t>4所示。钢纤维的抗拉拔作用能有效地抑制试件的横向变形，使超高性能混凝土表现出明显的塑性，试件呈现开裂但不破碎的状态。</w:t>
      </w:r>
    </w:p>
    <w:p w14:paraId="42AB1C96">
      <w:pPr>
        <w:pStyle w:val="53"/>
        <w:kinsoku/>
        <w:overflowPunct/>
        <w:bidi w:val="0"/>
        <w:spacing w:line="360" w:lineRule="auto"/>
        <w:ind w:firstLine="0" w:firstLineChars="0"/>
        <w:jc w:val="center"/>
        <w:rPr>
          <w:color w:val="auto"/>
          <w:highlight w:val="none"/>
        </w:rPr>
      </w:pPr>
      <w:r>
        <w:rPr>
          <w:color w:val="auto"/>
          <w:highlight w:val="none"/>
        </w:rPr>
        <w:drawing>
          <wp:inline distT="0" distB="0" distL="0" distR="0">
            <wp:extent cx="2234565" cy="2203450"/>
            <wp:effectExtent l="0" t="3492" r="0" b="0"/>
            <wp:docPr id="8838961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9616" name="图片 55"/>
                    <pic:cNvPicPr>
                      <a:picLocks noChangeAspect="1" noChangeArrowheads="1"/>
                    </pic:cNvPicPr>
                  </pic:nvPicPr>
                  <pic:blipFill>
                    <a:blip r:embed="rId290" cstate="print">
                      <a:extLst>
                        <a:ext uri="{28A0092B-C50C-407E-A947-70E740481C1C}">
                          <a14:useLocalDpi xmlns:a14="http://schemas.microsoft.com/office/drawing/2010/main" val="0"/>
                        </a:ext>
                      </a:extLst>
                    </a:blip>
                    <a:srcRect l="25102" t="12905" r="20080" b="15021"/>
                    <a:stretch>
                      <a:fillRect/>
                    </a:stretch>
                  </pic:blipFill>
                  <pic:spPr>
                    <a:xfrm rot="16200000">
                      <a:off x="0" y="0"/>
                      <a:ext cx="2236026" cy="2205451"/>
                    </a:xfrm>
                    <a:prstGeom prst="rect">
                      <a:avLst/>
                    </a:prstGeom>
                    <a:noFill/>
                    <a:ln>
                      <a:noFill/>
                    </a:ln>
                  </pic:spPr>
                </pic:pic>
              </a:graphicData>
            </a:graphic>
          </wp:inline>
        </w:drawing>
      </w:r>
      <w:r>
        <w:rPr>
          <w:rFonts w:hint="eastAsia"/>
          <w:color w:val="auto"/>
          <w:highlight w:val="none"/>
        </w:rPr>
        <w:t xml:space="preserve"> </w:t>
      </w:r>
      <w:r>
        <w:rPr>
          <w:color w:val="auto"/>
          <w:highlight w:val="none"/>
        </w:rPr>
        <w:drawing>
          <wp:inline distT="0" distB="0" distL="0" distR="0">
            <wp:extent cx="1704975" cy="2550795"/>
            <wp:effectExtent l="0" t="3810" r="5715" b="5715"/>
            <wp:docPr id="80379640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96402" name="图片 54"/>
                    <pic:cNvPicPr>
                      <a:picLocks noChangeAspect="1" noChangeArrowheads="1"/>
                    </pic:cNvPicPr>
                  </pic:nvPicPr>
                  <pic:blipFill>
                    <a:blip r:embed="rId291" cstate="print">
                      <a:extLst>
                        <a:ext uri="{28A0092B-C50C-407E-A947-70E740481C1C}">
                          <a14:useLocalDpi xmlns:a14="http://schemas.microsoft.com/office/drawing/2010/main" val="0"/>
                        </a:ext>
                      </a:extLst>
                    </a:blip>
                    <a:srcRect l="32088" t="34643" r="27828" b="20366"/>
                    <a:stretch>
                      <a:fillRect/>
                    </a:stretch>
                  </pic:blipFill>
                  <pic:spPr>
                    <a:xfrm rot="16200000">
                      <a:off x="0" y="0"/>
                      <a:ext cx="1719243" cy="2572305"/>
                    </a:xfrm>
                    <a:prstGeom prst="rect">
                      <a:avLst/>
                    </a:prstGeom>
                    <a:noFill/>
                    <a:ln>
                      <a:noFill/>
                    </a:ln>
                  </pic:spPr>
                </pic:pic>
              </a:graphicData>
            </a:graphic>
          </wp:inline>
        </w:drawing>
      </w:r>
    </w:p>
    <w:p w14:paraId="4E304A7C">
      <w:pPr>
        <w:pStyle w:val="53"/>
        <w:kinsoku/>
        <w:overflowPunct/>
        <w:bidi w:val="0"/>
        <w:spacing w:line="360" w:lineRule="auto"/>
        <w:ind w:firstLine="0" w:firstLineChars="0"/>
        <w:jc w:val="center"/>
        <w:rPr>
          <w:rFonts w:hint="eastAsia"/>
          <w:color w:val="auto"/>
          <w:highlight w:val="none"/>
        </w:rPr>
      </w:pPr>
      <w:r>
        <w:rPr>
          <w:rFonts w:hint="eastAsia"/>
          <w:color w:val="auto"/>
          <w:highlight w:val="none"/>
        </w:rPr>
        <w:t>图</w:t>
      </w:r>
      <w:r>
        <w:rPr>
          <w:rFonts w:hint="eastAsia"/>
          <w:color w:val="auto"/>
          <w:highlight w:val="none"/>
          <w:lang w:eastAsia="zh-CN"/>
        </w:rPr>
        <w:t>A.</w:t>
      </w:r>
      <w:r>
        <w:rPr>
          <w:rFonts w:hint="eastAsia"/>
          <w:color w:val="auto"/>
          <w:highlight w:val="none"/>
          <w:lang w:val="en-US" w:eastAsia="zh-CN"/>
        </w:rPr>
        <w:t>4</w:t>
      </w:r>
      <w:r>
        <w:rPr>
          <w:rFonts w:hint="eastAsia"/>
          <w:color w:val="auto"/>
          <w:highlight w:val="none"/>
        </w:rPr>
        <w:t xml:space="preserve"> 超高性能混凝土动态抗压试验典型破坏图</w:t>
      </w:r>
    </w:p>
    <w:sectPr>
      <w:footerReference r:id="rId9" w:type="default"/>
      <w:pgSz w:w="11907" w:h="16839"/>
      <w:pgMar w:top="1418" w:right="1134" w:bottom="1134" w:left="1418" w:header="1418" w:footer="851"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DCC8D">
    <w:pPr>
      <w:pStyle w:val="58"/>
      <w:rPr>
        <w:rStyle w:val="41"/>
      </w:rPr>
    </w:pPr>
    <w:r>
      <w:rPr>
        <w:rStyle w:val="41"/>
      </w:rPr>
      <w:fldChar w:fldCharType="begin"/>
    </w:r>
    <w:r>
      <w:rPr>
        <w:rStyle w:val="41"/>
      </w:rPr>
      <w:instrText xml:space="preserve">PAGE  </w:instrText>
    </w:r>
    <w:r>
      <w:rPr>
        <w:rStyle w:val="41"/>
      </w:rPr>
      <w:fldChar w:fldCharType="separate"/>
    </w:r>
    <w:r>
      <w:rPr>
        <w:rStyle w:val="41"/>
      </w:rPr>
      <w:t>1</w:t>
    </w:r>
    <w:r>
      <w:rPr>
        <w:rStyle w:val="4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491E2">
    <w:pPr>
      <w:pStyle w:val="27"/>
      <w:framePr w:wrap="around" w:vAnchor="text" w:hAnchor="margin" w:xAlign="right" w:y="1"/>
      <w:rPr>
        <w:rStyle w:val="41"/>
      </w:rPr>
    </w:pPr>
    <w:r>
      <w:rPr>
        <w:rStyle w:val="41"/>
      </w:rPr>
      <w:fldChar w:fldCharType="begin"/>
    </w:r>
    <w:r>
      <w:rPr>
        <w:rStyle w:val="41"/>
      </w:rPr>
      <w:instrText xml:space="preserve">PAGE  </w:instrText>
    </w:r>
    <w:r>
      <w:rPr>
        <w:rStyle w:val="41"/>
      </w:rPr>
      <w:fldChar w:fldCharType="separate"/>
    </w:r>
    <w:r>
      <w:rPr>
        <w:rStyle w:val="41"/>
      </w:rPr>
      <w:t>2</w:t>
    </w:r>
    <w:r>
      <w:rPr>
        <w:rStyle w:val="41"/>
      </w:rPr>
      <w:fldChar w:fldCharType="end"/>
    </w:r>
  </w:p>
  <w:p w14:paraId="4F6D6551">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2748E">
    <w:pPr>
      <w:pStyle w:val="58"/>
      <w:rPr>
        <w:rStyle w:val="41"/>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B933B3">
                          <w:pPr>
                            <w:pStyle w:val="58"/>
                          </w:pPr>
                          <w:r>
                            <w:rPr>
                              <w:rStyle w:val="41"/>
                            </w:rPr>
                            <w:fldChar w:fldCharType="begin"/>
                          </w:r>
                          <w:r>
                            <w:rPr>
                              <w:rStyle w:val="41"/>
                            </w:rPr>
                            <w:instrText xml:space="preserve">PAGE  </w:instrText>
                          </w:r>
                          <w:r>
                            <w:rPr>
                              <w:rStyle w:val="41"/>
                            </w:rPr>
                            <w:fldChar w:fldCharType="separate"/>
                          </w:r>
                          <w:r>
                            <w:rPr>
                              <w:rStyle w:val="41"/>
                            </w:rPr>
                            <w:t>3</w:t>
                          </w:r>
                          <w:r>
                            <w:rPr>
                              <w:rStyle w:val="4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3AB933B3">
                    <w:pPr>
                      <w:pStyle w:val="58"/>
                    </w:pPr>
                    <w:r>
                      <w:rPr>
                        <w:rStyle w:val="41"/>
                      </w:rPr>
                      <w:fldChar w:fldCharType="begin"/>
                    </w:r>
                    <w:r>
                      <w:rPr>
                        <w:rStyle w:val="41"/>
                      </w:rPr>
                      <w:instrText xml:space="preserve">PAGE  </w:instrText>
                    </w:r>
                    <w:r>
                      <w:rPr>
                        <w:rStyle w:val="41"/>
                      </w:rPr>
                      <w:fldChar w:fldCharType="separate"/>
                    </w:r>
                    <w:r>
                      <w:rPr>
                        <w:rStyle w:val="41"/>
                      </w:rPr>
                      <w:t>3</w:t>
                    </w:r>
                    <w:r>
                      <w:rPr>
                        <w:rStyle w:val="4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7779C">
    <w:pPr>
      <w:pStyle w:val="58"/>
      <w:tabs>
        <w:tab w:val="center" w:pos="4677"/>
        <w:tab w:val="right" w:pos="9475"/>
      </w:tabs>
      <w:jc w:val="left"/>
      <w:rPr>
        <w:rStyle w:val="41"/>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6EEBA5">
                          <w:pPr>
                            <w:pStyle w:val="58"/>
                          </w:pPr>
                          <w:r>
                            <w:rPr>
                              <w:rStyle w:val="41"/>
                            </w:rPr>
                            <w:fldChar w:fldCharType="begin"/>
                          </w:r>
                          <w:r>
                            <w:rPr>
                              <w:rStyle w:val="41"/>
                            </w:rPr>
                            <w:instrText xml:space="preserve">PAGE  </w:instrText>
                          </w:r>
                          <w:r>
                            <w:rPr>
                              <w:rStyle w:val="41"/>
                            </w:rPr>
                            <w:fldChar w:fldCharType="separate"/>
                          </w:r>
                          <w:r>
                            <w:rPr>
                              <w:rStyle w:val="41"/>
                            </w:rPr>
                            <w:t>3</w:t>
                          </w:r>
                          <w:r>
                            <w:rPr>
                              <w:rStyle w:val="4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14:paraId="3A6EEBA5">
                    <w:pPr>
                      <w:pStyle w:val="58"/>
                    </w:pPr>
                    <w:r>
                      <w:rPr>
                        <w:rStyle w:val="41"/>
                      </w:rPr>
                      <w:fldChar w:fldCharType="begin"/>
                    </w:r>
                    <w:r>
                      <w:rPr>
                        <w:rStyle w:val="41"/>
                      </w:rPr>
                      <w:instrText xml:space="preserve">PAGE  </w:instrText>
                    </w:r>
                    <w:r>
                      <w:rPr>
                        <w:rStyle w:val="41"/>
                      </w:rPr>
                      <w:fldChar w:fldCharType="separate"/>
                    </w:r>
                    <w:r>
                      <w:rPr>
                        <w:rStyle w:val="41"/>
                      </w:rPr>
                      <w:t>3</w:t>
                    </w:r>
                    <w:r>
                      <w:rPr>
                        <w:rStyle w:val="41"/>
                      </w:rPr>
                      <w:fldChar w:fldCharType="end"/>
                    </w:r>
                  </w:p>
                </w:txbxContent>
              </v:textbox>
            </v:shape>
          </w:pict>
        </mc:Fallback>
      </mc:AlternateContent>
    </w:r>
    <w:r>
      <w:rPr>
        <w:rStyle w:val="41"/>
        <w:rFonts w:hint="eastAsia"/>
        <w:lang w:eastAsia="zh-CN"/>
      </w:rPr>
      <w:tab/>
      <w:t/>
    </w:r>
    <w:r>
      <w:rPr>
        <w:rStyle w:val="41"/>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42988">
    <w:pPr>
      <w:pStyle w:val="58"/>
      <w:rPr>
        <w:rStyle w:val="41"/>
      </w:rPr>
    </w:pPr>
    <w:r>
      <w:rPr>
        <w:rStyle w:val="41"/>
      </w:rPr>
      <w:fldChar w:fldCharType="begin"/>
    </w:r>
    <w:r>
      <w:rPr>
        <w:rStyle w:val="41"/>
      </w:rPr>
      <w:instrText xml:space="preserve">PAGE  </w:instrText>
    </w:r>
    <w:r>
      <w:rPr>
        <w:rStyle w:val="41"/>
      </w:rPr>
      <w:fldChar w:fldCharType="separate"/>
    </w:r>
    <w:r>
      <w:rPr>
        <w:rStyle w:val="41"/>
      </w:rPr>
      <w:t>3</w:t>
    </w:r>
    <w:r>
      <w:rPr>
        <w:rStyle w:val="4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C9FD7">
    <w:pPr>
      <w:pStyle w:val="59"/>
    </w:pPr>
    <w:r>
      <w:t>GB/T</w:t>
    </w:r>
    <w:r>
      <w:rPr>
        <w:rFonts w:hint="eastAsia"/>
        <w:lang w:val="en-US" w:eastAsia="zh-CN"/>
      </w:rPr>
      <w:t xml:space="preserve"> XXXX</w:t>
    </w:r>
    <w:r>
      <w:t>—</w:t>
    </w:r>
    <w:r>
      <w:rPr>
        <w:rFonts w:hint="eastAsia"/>
        <w:lang w:val="en-US" w:eastAsia="zh-CN"/>
      </w:rPr>
      <w:t>202X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4E34C">
    <w:pPr>
      <w:pStyle w:val="61"/>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1C8B8"/>
    <w:multiLevelType w:val="singleLevel"/>
    <w:tmpl w:val="9201C8B8"/>
    <w:lvl w:ilvl="0" w:tentative="0">
      <w:start w:val="1"/>
      <w:numFmt w:val="decimal"/>
      <w:lvlText w:val="%1)"/>
      <w:lvlJc w:val="left"/>
      <w:pPr>
        <w:ind w:left="425" w:hanging="425"/>
      </w:pPr>
      <w:rPr>
        <w:rFonts w:hint="default"/>
      </w:rPr>
    </w:lvl>
  </w:abstractNum>
  <w:abstractNum w:abstractNumId="1">
    <w:nsid w:val="952854BA"/>
    <w:multiLevelType w:val="singleLevel"/>
    <w:tmpl w:val="952854BA"/>
    <w:lvl w:ilvl="0" w:tentative="0">
      <w:start w:val="1"/>
      <w:numFmt w:val="lowerLetter"/>
      <w:suff w:val="space"/>
      <w:lvlText w:val="%1)"/>
      <w:lvlJc w:val="left"/>
    </w:lvl>
  </w:abstractNum>
  <w:abstractNum w:abstractNumId="2">
    <w:nsid w:val="A3FE8DF2"/>
    <w:multiLevelType w:val="singleLevel"/>
    <w:tmpl w:val="A3FE8DF2"/>
    <w:lvl w:ilvl="0" w:tentative="0">
      <w:start w:val="1"/>
      <w:numFmt w:val="decimal"/>
      <w:lvlText w:val="%1)"/>
      <w:lvlJc w:val="left"/>
      <w:pPr>
        <w:ind w:left="425" w:hanging="425"/>
      </w:pPr>
      <w:rPr>
        <w:rFonts w:hint="default"/>
      </w:rPr>
    </w:lvl>
  </w:abstractNum>
  <w:abstractNum w:abstractNumId="3">
    <w:nsid w:val="D56B32C5"/>
    <w:multiLevelType w:val="singleLevel"/>
    <w:tmpl w:val="D56B32C5"/>
    <w:lvl w:ilvl="0" w:tentative="0">
      <w:start w:val="1"/>
      <w:numFmt w:val="lowerLetter"/>
      <w:suff w:val="space"/>
      <w:lvlText w:val="%1)"/>
      <w:lvlJc w:val="left"/>
    </w:lvl>
  </w:abstractNum>
  <w:abstractNum w:abstractNumId="4">
    <w:nsid w:val="DF9E4E38"/>
    <w:multiLevelType w:val="singleLevel"/>
    <w:tmpl w:val="DF9E4E38"/>
    <w:lvl w:ilvl="0" w:tentative="0">
      <w:start w:val="1"/>
      <w:numFmt w:val="decimal"/>
      <w:lvlText w:val="%1)"/>
      <w:lvlJc w:val="left"/>
      <w:pPr>
        <w:ind w:left="425" w:hanging="425"/>
      </w:pPr>
      <w:rPr>
        <w:rFonts w:hint="default"/>
      </w:rPr>
    </w:lvl>
  </w:abstractNum>
  <w:abstractNum w:abstractNumId="5">
    <w:nsid w:val="EFFBFBB3"/>
    <w:multiLevelType w:val="singleLevel"/>
    <w:tmpl w:val="EFFBFBB3"/>
    <w:lvl w:ilvl="0" w:tentative="0">
      <w:start w:val="1"/>
      <w:numFmt w:val="decimal"/>
      <w:lvlText w:val="%1)"/>
      <w:lvlJc w:val="left"/>
      <w:pPr>
        <w:ind w:left="425" w:hanging="425"/>
      </w:pPr>
      <w:rPr>
        <w:rFonts w:hint="default"/>
      </w:rPr>
    </w:lvl>
  </w:abstractNum>
  <w:abstractNum w:abstractNumId="6">
    <w:nsid w:val="FE9BC880"/>
    <w:multiLevelType w:val="singleLevel"/>
    <w:tmpl w:val="FE9BC880"/>
    <w:lvl w:ilvl="0" w:tentative="0">
      <w:start w:val="1"/>
      <w:numFmt w:val="decimal"/>
      <w:lvlText w:val="%1)"/>
      <w:lvlJc w:val="left"/>
      <w:pPr>
        <w:ind w:left="425" w:hanging="425"/>
      </w:pPr>
      <w:rPr>
        <w:rFonts w:hint="default"/>
      </w:rPr>
    </w:lvl>
  </w:abstractNum>
  <w:abstractNum w:abstractNumId="7">
    <w:nsid w:val="03AA3101"/>
    <w:multiLevelType w:val="multilevel"/>
    <w:tmpl w:val="03AA3101"/>
    <w:lvl w:ilvl="0" w:tentative="0">
      <w:start w:val="3"/>
      <w:numFmt w:val="decimal"/>
      <w:pStyle w:val="107"/>
      <w:lvlText w:val="%1"/>
      <w:lvlJc w:val="left"/>
      <w:pPr>
        <w:tabs>
          <w:tab w:val="left" w:pos="720"/>
        </w:tabs>
        <w:ind w:left="720" w:hanging="720"/>
      </w:pPr>
      <w:rPr>
        <w:rFonts w:hint="default" w:ascii="Batang" w:hAnsi="Batang"/>
      </w:rPr>
    </w:lvl>
    <w:lvl w:ilvl="1" w:tentative="0">
      <w:start w:val="2"/>
      <w:numFmt w:val="decimal"/>
      <w:lvlText w:val="%1.%2"/>
      <w:lvlJc w:val="left"/>
      <w:pPr>
        <w:tabs>
          <w:tab w:val="left" w:pos="1192"/>
        </w:tabs>
        <w:ind w:left="1192" w:hanging="720"/>
      </w:pPr>
      <w:rPr>
        <w:rFonts w:hint="default" w:ascii="Batang" w:hAnsi="Batang"/>
      </w:rPr>
    </w:lvl>
    <w:lvl w:ilvl="2" w:tentative="0">
      <w:start w:val="3"/>
      <w:numFmt w:val="decimal"/>
      <w:lvlText w:val="%1.%2.%3"/>
      <w:lvlJc w:val="left"/>
      <w:pPr>
        <w:tabs>
          <w:tab w:val="left" w:pos="1664"/>
        </w:tabs>
        <w:ind w:left="1664" w:hanging="720"/>
      </w:pPr>
      <w:rPr>
        <w:rFonts w:hint="default" w:ascii="Batang" w:hAnsi="Batang"/>
      </w:rPr>
    </w:lvl>
    <w:lvl w:ilvl="3" w:tentative="0">
      <w:start w:val="1"/>
      <w:numFmt w:val="decimal"/>
      <w:lvlText w:val="%1.%2.%3.%4"/>
      <w:lvlJc w:val="left"/>
      <w:pPr>
        <w:tabs>
          <w:tab w:val="left" w:pos="2136"/>
        </w:tabs>
        <w:ind w:left="2136" w:hanging="720"/>
      </w:pPr>
      <w:rPr>
        <w:rFonts w:hint="default" w:ascii="Batang" w:hAnsi="Batang"/>
      </w:rPr>
    </w:lvl>
    <w:lvl w:ilvl="4" w:tentative="0">
      <w:start w:val="1"/>
      <w:numFmt w:val="decimal"/>
      <w:lvlText w:val="%1.%2.%3.%4.%5"/>
      <w:lvlJc w:val="left"/>
      <w:pPr>
        <w:tabs>
          <w:tab w:val="left" w:pos="2968"/>
        </w:tabs>
        <w:ind w:left="2968" w:hanging="1080"/>
      </w:pPr>
      <w:rPr>
        <w:rFonts w:hint="default" w:ascii="Batang" w:hAnsi="Batang"/>
      </w:rPr>
    </w:lvl>
    <w:lvl w:ilvl="5" w:tentative="0">
      <w:start w:val="1"/>
      <w:numFmt w:val="decimal"/>
      <w:lvlText w:val="%1.%2.%3.%4.%5.%6"/>
      <w:lvlJc w:val="left"/>
      <w:pPr>
        <w:tabs>
          <w:tab w:val="left" w:pos="3800"/>
        </w:tabs>
        <w:ind w:left="3800" w:hanging="1440"/>
      </w:pPr>
      <w:rPr>
        <w:rFonts w:hint="default" w:ascii="Batang" w:hAnsi="Batang"/>
      </w:rPr>
    </w:lvl>
    <w:lvl w:ilvl="6" w:tentative="0">
      <w:start w:val="1"/>
      <w:numFmt w:val="decimal"/>
      <w:lvlText w:val="%1.%2.%3.%4.%5.%6.%7"/>
      <w:lvlJc w:val="left"/>
      <w:pPr>
        <w:tabs>
          <w:tab w:val="left" w:pos="4272"/>
        </w:tabs>
        <w:ind w:left="4272" w:hanging="1440"/>
      </w:pPr>
      <w:rPr>
        <w:rFonts w:hint="default" w:ascii="Batang" w:hAnsi="Batang"/>
      </w:rPr>
    </w:lvl>
    <w:lvl w:ilvl="7" w:tentative="0">
      <w:start w:val="1"/>
      <w:numFmt w:val="decimal"/>
      <w:lvlText w:val="%1.%2.%3.%4.%5.%6.%7.%8"/>
      <w:lvlJc w:val="left"/>
      <w:pPr>
        <w:tabs>
          <w:tab w:val="left" w:pos="5104"/>
        </w:tabs>
        <w:ind w:left="5104" w:hanging="1800"/>
      </w:pPr>
      <w:rPr>
        <w:rFonts w:hint="default" w:ascii="Batang" w:hAnsi="Batang"/>
      </w:rPr>
    </w:lvl>
    <w:lvl w:ilvl="8" w:tentative="0">
      <w:start w:val="1"/>
      <w:numFmt w:val="decimal"/>
      <w:lvlText w:val="%1.%2.%3.%4.%5.%6.%7.%8.%9"/>
      <w:lvlJc w:val="left"/>
      <w:pPr>
        <w:tabs>
          <w:tab w:val="left" w:pos="5576"/>
        </w:tabs>
        <w:ind w:left="5576" w:hanging="1800"/>
      </w:pPr>
      <w:rPr>
        <w:rFonts w:hint="default" w:ascii="Batang" w:hAnsi="Batang"/>
      </w:rPr>
    </w:lvl>
  </w:abstractNum>
  <w:abstractNum w:abstractNumId="8">
    <w:nsid w:val="040A15CD"/>
    <w:multiLevelType w:val="multilevel"/>
    <w:tmpl w:val="040A15CD"/>
    <w:lvl w:ilvl="0" w:tentative="0">
      <w:start w:val="1"/>
      <w:numFmt w:val="none"/>
      <w:pStyle w:val="108"/>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1747B5D1"/>
    <w:multiLevelType w:val="singleLevel"/>
    <w:tmpl w:val="1747B5D1"/>
    <w:lvl w:ilvl="0" w:tentative="0">
      <w:start w:val="1"/>
      <w:numFmt w:val="decimal"/>
      <w:lvlText w:val="%1)"/>
      <w:lvlJc w:val="left"/>
      <w:pPr>
        <w:ind w:left="425" w:hanging="425"/>
      </w:pPr>
      <w:rPr>
        <w:rFonts w:hint="default"/>
      </w:rPr>
    </w:lvl>
  </w:abstractNum>
  <w:abstractNum w:abstractNumId="10">
    <w:nsid w:val="1A313FC4"/>
    <w:multiLevelType w:val="singleLevel"/>
    <w:tmpl w:val="1A313FC4"/>
    <w:lvl w:ilvl="0" w:tentative="0">
      <w:start w:val="5"/>
      <w:numFmt w:val="decimal"/>
      <w:suff w:val="nothing"/>
      <w:lvlText w:val="%1）"/>
      <w:lvlJc w:val="left"/>
    </w:lvl>
  </w:abstractNum>
  <w:abstractNum w:abstractNumId="11">
    <w:nsid w:val="2704AB0D"/>
    <w:multiLevelType w:val="singleLevel"/>
    <w:tmpl w:val="2704AB0D"/>
    <w:lvl w:ilvl="0" w:tentative="0">
      <w:start w:val="1"/>
      <w:numFmt w:val="decimal"/>
      <w:lvlText w:val="%1)"/>
      <w:lvlJc w:val="left"/>
      <w:pPr>
        <w:ind w:left="425" w:hanging="425"/>
      </w:pPr>
      <w:rPr>
        <w:rFonts w:hint="default"/>
      </w:rPr>
    </w:lvl>
  </w:abstractNum>
  <w:abstractNum w:abstractNumId="12">
    <w:nsid w:val="28F61BF7"/>
    <w:multiLevelType w:val="multilevel"/>
    <w:tmpl w:val="28F61BF7"/>
    <w:lvl w:ilvl="0" w:tentative="0">
      <w:start w:val="2"/>
      <w:numFmt w:val="decimal"/>
      <w:pStyle w:val="105"/>
      <w:lvlText w:val="%1"/>
      <w:lvlJc w:val="left"/>
      <w:pPr>
        <w:tabs>
          <w:tab w:val="left" w:pos="525"/>
        </w:tabs>
        <w:ind w:left="525" w:hanging="525"/>
      </w:pPr>
      <w:rPr>
        <w:rFonts w:hint="default"/>
      </w:rPr>
    </w:lvl>
    <w:lvl w:ilvl="1" w:tentative="0">
      <w:start w:val="3"/>
      <w:numFmt w:val="decimal"/>
      <w:lvlText w:val="%1.%2"/>
      <w:lvlJc w:val="left"/>
      <w:pPr>
        <w:tabs>
          <w:tab w:val="left" w:pos="1155"/>
        </w:tabs>
        <w:ind w:left="1155" w:hanging="525"/>
      </w:pPr>
      <w:rPr>
        <w:rFonts w:hint="default"/>
      </w:rPr>
    </w:lvl>
    <w:lvl w:ilvl="2" w:tentative="0">
      <w:start w:val="1"/>
      <w:numFmt w:val="decimal"/>
      <w:lvlText w:val="%1.%2.%3"/>
      <w:lvlJc w:val="left"/>
      <w:pPr>
        <w:tabs>
          <w:tab w:val="left" w:pos="1980"/>
        </w:tabs>
        <w:ind w:left="1980" w:hanging="720"/>
      </w:pPr>
      <w:rPr>
        <w:rFonts w:hint="default"/>
      </w:rPr>
    </w:lvl>
    <w:lvl w:ilvl="3" w:tentative="0">
      <w:start w:val="1"/>
      <w:numFmt w:val="decimal"/>
      <w:lvlText w:val="%1.%2.%3.%4"/>
      <w:lvlJc w:val="left"/>
      <w:pPr>
        <w:tabs>
          <w:tab w:val="left" w:pos="2970"/>
        </w:tabs>
        <w:ind w:left="2970" w:hanging="1080"/>
      </w:pPr>
      <w:rPr>
        <w:rFonts w:hint="default"/>
      </w:rPr>
    </w:lvl>
    <w:lvl w:ilvl="4" w:tentative="0">
      <w:start w:val="1"/>
      <w:numFmt w:val="decimal"/>
      <w:lvlText w:val="%1.%2.%3.%4.%5"/>
      <w:lvlJc w:val="left"/>
      <w:pPr>
        <w:tabs>
          <w:tab w:val="left" w:pos="3600"/>
        </w:tabs>
        <w:ind w:left="3600" w:hanging="1080"/>
      </w:pPr>
      <w:rPr>
        <w:rFonts w:hint="default"/>
      </w:rPr>
    </w:lvl>
    <w:lvl w:ilvl="5" w:tentative="0">
      <w:start w:val="1"/>
      <w:numFmt w:val="decimal"/>
      <w:lvlText w:val="%1.%2.%3.%4.%5.%6"/>
      <w:lvlJc w:val="left"/>
      <w:pPr>
        <w:tabs>
          <w:tab w:val="left" w:pos="4590"/>
        </w:tabs>
        <w:ind w:left="4590" w:hanging="1440"/>
      </w:pPr>
      <w:rPr>
        <w:rFonts w:hint="default"/>
      </w:rPr>
    </w:lvl>
    <w:lvl w:ilvl="6" w:tentative="0">
      <w:start w:val="1"/>
      <w:numFmt w:val="decimal"/>
      <w:lvlText w:val="%1.%2.%3.%4.%5.%6.%7"/>
      <w:lvlJc w:val="left"/>
      <w:pPr>
        <w:tabs>
          <w:tab w:val="left" w:pos="5220"/>
        </w:tabs>
        <w:ind w:left="5220" w:hanging="1440"/>
      </w:pPr>
      <w:rPr>
        <w:rFonts w:hint="default"/>
      </w:rPr>
    </w:lvl>
    <w:lvl w:ilvl="7" w:tentative="0">
      <w:start w:val="1"/>
      <w:numFmt w:val="decimal"/>
      <w:lvlText w:val="%1.%2.%3.%4.%5.%6.%7.%8"/>
      <w:lvlJc w:val="left"/>
      <w:pPr>
        <w:tabs>
          <w:tab w:val="left" w:pos="6210"/>
        </w:tabs>
        <w:ind w:left="6210" w:hanging="1800"/>
      </w:pPr>
      <w:rPr>
        <w:rFonts w:hint="default"/>
      </w:rPr>
    </w:lvl>
    <w:lvl w:ilvl="8" w:tentative="0">
      <w:start w:val="1"/>
      <w:numFmt w:val="decimal"/>
      <w:lvlText w:val="%1.%2.%3.%4.%5.%6.%7.%8.%9"/>
      <w:lvlJc w:val="left"/>
      <w:pPr>
        <w:tabs>
          <w:tab w:val="left" w:pos="6840"/>
        </w:tabs>
        <w:ind w:left="6840" w:hanging="1800"/>
      </w:pPr>
      <w:rPr>
        <w:rFonts w:hint="default"/>
      </w:rPr>
    </w:lvl>
  </w:abstractNum>
  <w:abstractNum w:abstractNumId="13">
    <w:nsid w:val="33CF5398"/>
    <w:multiLevelType w:val="multilevel"/>
    <w:tmpl w:val="33CF5398"/>
    <w:lvl w:ilvl="0" w:tentative="0">
      <w:start w:val="3"/>
      <w:numFmt w:val="decimal"/>
      <w:pStyle w:val="106"/>
      <w:lvlText w:val="%1"/>
      <w:lvlJc w:val="left"/>
      <w:pPr>
        <w:tabs>
          <w:tab w:val="left" w:pos="525"/>
        </w:tabs>
        <w:ind w:left="525" w:hanging="525"/>
      </w:pPr>
      <w:rPr>
        <w:rFonts w:hint="default"/>
      </w:rPr>
    </w:lvl>
    <w:lvl w:ilvl="1" w:tentative="0">
      <w:start w:val="2"/>
      <w:numFmt w:val="decimal"/>
      <w:lvlText w:val="%1.%2"/>
      <w:lvlJc w:val="left"/>
      <w:pPr>
        <w:tabs>
          <w:tab w:val="left" w:pos="1470"/>
        </w:tabs>
        <w:ind w:left="1470" w:hanging="525"/>
      </w:pPr>
      <w:rPr>
        <w:rFonts w:hint="default"/>
      </w:rPr>
    </w:lvl>
    <w:lvl w:ilvl="2" w:tentative="0">
      <w:start w:val="1"/>
      <w:numFmt w:val="decimal"/>
      <w:lvlText w:val="%1.%2.%3"/>
      <w:lvlJc w:val="left"/>
      <w:pPr>
        <w:tabs>
          <w:tab w:val="left" w:pos="2610"/>
        </w:tabs>
        <w:ind w:left="2610" w:hanging="720"/>
      </w:pPr>
      <w:rPr>
        <w:rFonts w:hint="default"/>
      </w:rPr>
    </w:lvl>
    <w:lvl w:ilvl="3" w:tentative="0">
      <w:start w:val="1"/>
      <w:numFmt w:val="decimal"/>
      <w:lvlText w:val="%1.%2.%3.%4"/>
      <w:lvlJc w:val="left"/>
      <w:pPr>
        <w:tabs>
          <w:tab w:val="left" w:pos="3555"/>
        </w:tabs>
        <w:ind w:left="3555" w:hanging="720"/>
      </w:pPr>
      <w:rPr>
        <w:rFonts w:hint="default"/>
      </w:rPr>
    </w:lvl>
    <w:lvl w:ilvl="4" w:tentative="0">
      <w:start w:val="1"/>
      <w:numFmt w:val="decimal"/>
      <w:lvlText w:val="%1.%2.%3.%4.%5"/>
      <w:lvlJc w:val="left"/>
      <w:pPr>
        <w:tabs>
          <w:tab w:val="left" w:pos="4860"/>
        </w:tabs>
        <w:ind w:left="4860" w:hanging="1080"/>
      </w:pPr>
      <w:rPr>
        <w:rFonts w:hint="default"/>
      </w:rPr>
    </w:lvl>
    <w:lvl w:ilvl="5" w:tentative="0">
      <w:start w:val="1"/>
      <w:numFmt w:val="decimal"/>
      <w:lvlText w:val="%1.%2.%3.%4.%5.%6"/>
      <w:lvlJc w:val="left"/>
      <w:pPr>
        <w:tabs>
          <w:tab w:val="left" w:pos="6165"/>
        </w:tabs>
        <w:ind w:left="6165" w:hanging="1440"/>
      </w:pPr>
      <w:rPr>
        <w:rFonts w:hint="default"/>
      </w:rPr>
    </w:lvl>
    <w:lvl w:ilvl="6" w:tentative="0">
      <w:start w:val="1"/>
      <w:numFmt w:val="decimal"/>
      <w:lvlText w:val="%1.%2.%3.%4.%5.%6.%7"/>
      <w:lvlJc w:val="left"/>
      <w:pPr>
        <w:tabs>
          <w:tab w:val="left" w:pos="7110"/>
        </w:tabs>
        <w:ind w:left="7110" w:hanging="1440"/>
      </w:pPr>
      <w:rPr>
        <w:rFonts w:hint="default"/>
      </w:rPr>
    </w:lvl>
    <w:lvl w:ilvl="7" w:tentative="0">
      <w:start w:val="1"/>
      <w:numFmt w:val="decimal"/>
      <w:lvlText w:val="%1.%2.%3.%4.%5.%6.%7.%8"/>
      <w:lvlJc w:val="left"/>
      <w:pPr>
        <w:tabs>
          <w:tab w:val="left" w:pos="8415"/>
        </w:tabs>
        <w:ind w:left="8415" w:hanging="1800"/>
      </w:pPr>
      <w:rPr>
        <w:rFonts w:hint="default"/>
      </w:rPr>
    </w:lvl>
    <w:lvl w:ilvl="8" w:tentative="0">
      <w:start w:val="1"/>
      <w:numFmt w:val="decimal"/>
      <w:lvlText w:val="%1.%2.%3.%4.%5.%6.%7.%8.%9"/>
      <w:lvlJc w:val="left"/>
      <w:pPr>
        <w:tabs>
          <w:tab w:val="left" w:pos="9360"/>
        </w:tabs>
        <w:ind w:left="9360" w:hanging="1800"/>
      </w:pPr>
      <w:rPr>
        <w:rFonts w:hint="default"/>
      </w:rPr>
    </w:lvl>
  </w:abstractNum>
  <w:abstractNum w:abstractNumId="14">
    <w:nsid w:val="46806F7D"/>
    <w:multiLevelType w:val="multilevel"/>
    <w:tmpl w:val="46806F7D"/>
    <w:lvl w:ilvl="0" w:tentative="0">
      <w:start w:val="1"/>
      <w:numFmt w:val="none"/>
      <w:pStyle w:val="86"/>
      <w:lvlText w:val="图"/>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pStyle w:val="104"/>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46D22D8F"/>
    <w:multiLevelType w:val="multilevel"/>
    <w:tmpl w:val="46D22D8F"/>
    <w:lvl w:ilvl="0" w:tentative="0">
      <w:start w:val="1"/>
      <w:numFmt w:val="none"/>
      <w:pStyle w:val="110"/>
      <w:lvlText w:val="%1◆　"/>
      <w:lvlJc w:val="left"/>
      <w:pPr>
        <w:tabs>
          <w:tab w:val="left" w:pos="960"/>
        </w:tabs>
        <w:ind w:left="917" w:hanging="317"/>
      </w:pPr>
      <w:rPr>
        <w:rFonts w:hint="eastAsia" w:ascii="宋体" w:hAnsi="Times New Roman" w:eastAsia="宋体"/>
        <w:b w:val="0"/>
        <w:i w:val="0"/>
        <w:position w:val="4"/>
        <w:sz w:val="1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pStyle w:val="100"/>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4F302902"/>
    <w:multiLevelType w:val="multilevel"/>
    <w:tmpl w:val="4F302902"/>
    <w:lvl w:ilvl="0" w:tentative="0">
      <w:start w:val="1"/>
      <w:numFmt w:val="none"/>
      <w:pStyle w:val="80"/>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6350366A"/>
    <w:multiLevelType w:val="multilevel"/>
    <w:tmpl w:val="6350366A"/>
    <w:lvl w:ilvl="0" w:tentative="0">
      <w:start w:val="1"/>
      <w:numFmt w:val="none"/>
      <w:pStyle w:val="91"/>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657D3FBC"/>
    <w:multiLevelType w:val="multilevel"/>
    <w:tmpl w:val="657D3FBC"/>
    <w:lvl w:ilvl="0" w:tentative="0">
      <w:start w:val="1"/>
      <w:numFmt w:val="upperLetter"/>
      <w:pStyle w:val="79"/>
      <w:suff w:val="nothing"/>
      <w:lvlText w:val="附　录　%1"/>
      <w:lvlJc w:val="left"/>
      <w:pPr>
        <w:ind w:left="0" w:firstLine="0"/>
      </w:pPr>
      <w:rPr>
        <w:rFonts w:hint="eastAsia" w:ascii="黑体" w:hAnsi="Times New Roman" w:eastAsia="黑体"/>
        <w:b w:val="0"/>
        <w:i w:val="0"/>
        <w:sz w:val="21"/>
      </w:rPr>
    </w:lvl>
    <w:lvl w:ilvl="1" w:tentative="0">
      <w:start w:val="1"/>
      <w:numFmt w:val="decimal"/>
      <w:pStyle w:val="81"/>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9">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pStyle w:val="8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6DBF04F4"/>
    <w:multiLevelType w:val="multilevel"/>
    <w:tmpl w:val="6DBF04F4"/>
    <w:lvl w:ilvl="0" w:tentative="0">
      <w:start w:val="1"/>
      <w:numFmt w:val="none"/>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96"/>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76933334"/>
    <w:multiLevelType w:val="multilevel"/>
    <w:tmpl w:val="76933334"/>
    <w:lvl w:ilvl="0" w:tentative="0">
      <w:start w:val="1"/>
      <w:numFmt w:val="none"/>
      <w:pStyle w:val="90"/>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8"/>
  </w:num>
  <w:num w:numId="2">
    <w:abstractNumId w:val="16"/>
  </w:num>
  <w:num w:numId="3">
    <w:abstractNumId w:val="14"/>
  </w:num>
  <w:num w:numId="4">
    <w:abstractNumId w:val="19"/>
  </w:num>
  <w:num w:numId="5">
    <w:abstractNumId w:val="21"/>
  </w:num>
  <w:num w:numId="6">
    <w:abstractNumId w:val="17"/>
  </w:num>
  <w:num w:numId="7">
    <w:abstractNumId w:val="20"/>
  </w:num>
  <w:num w:numId="8">
    <w:abstractNumId w:val="15"/>
  </w:num>
  <w:num w:numId="9">
    <w:abstractNumId w:val="12"/>
  </w:num>
  <w:num w:numId="10">
    <w:abstractNumId w:val="13"/>
  </w:num>
  <w:num w:numId="11">
    <w:abstractNumId w:val="7"/>
  </w:num>
  <w:num w:numId="12">
    <w:abstractNumId w:val="8"/>
  </w:num>
  <w:num w:numId="13">
    <w:abstractNumId w:val="3"/>
  </w:num>
  <w:num w:numId="14">
    <w:abstractNumId w:val="1"/>
  </w:num>
  <w:num w:numId="15">
    <w:abstractNumId w:val="10"/>
  </w:num>
  <w:num w:numId="16">
    <w:abstractNumId w:val="9"/>
  </w:num>
  <w:num w:numId="17">
    <w:abstractNumId w:val="2"/>
  </w:num>
  <w:num w:numId="18">
    <w:abstractNumId w:val="5"/>
  </w:num>
  <w:num w:numId="19">
    <w:abstractNumId w:val="6"/>
  </w:num>
  <w:num w:numId="20">
    <w:abstractNumId w:val="4"/>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0"/>
  <w:bordersDoNotSurroundFooter w:val="0"/>
  <w:linkStyle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BhMTNhMzhmZTFlYjUxM2QzYmNmMGZkMjRmNjZmNGMifQ=="/>
  </w:docVars>
  <w:rsids>
    <w:rsidRoot w:val="00357E4C"/>
    <w:rsid w:val="00000C73"/>
    <w:rsid w:val="000018A6"/>
    <w:rsid w:val="00012431"/>
    <w:rsid w:val="0001318B"/>
    <w:rsid w:val="00014145"/>
    <w:rsid w:val="000169C9"/>
    <w:rsid w:val="000201EB"/>
    <w:rsid w:val="0002475B"/>
    <w:rsid w:val="00024B5F"/>
    <w:rsid w:val="000252B4"/>
    <w:rsid w:val="00025597"/>
    <w:rsid w:val="00026083"/>
    <w:rsid w:val="00026713"/>
    <w:rsid w:val="00026F95"/>
    <w:rsid w:val="000276F3"/>
    <w:rsid w:val="0003206A"/>
    <w:rsid w:val="00032A5E"/>
    <w:rsid w:val="00035368"/>
    <w:rsid w:val="00037CE1"/>
    <w:rsid w:val="00044453"/>
    <w:rsid w:val="00045A36"/>
    <w:rsid w:val="00046C17"/>
    <w:rsid w:val="000553CB"/>
    <w:rsid w:val="000553DD"/>
    <w:rsid w:val="00057E65"/>
    <w:rsid w:val="00062A14"/>
    <w:rsid w:val="00063CDC"/>
    <w:rsid w:val="00063D75"/>
    <w:rsid w:val="00063E90"/>
    <w:rsid w:val="00065283"/>
    <w:rsid w:val="000661E0"/>
    <w:rsid w:val="00070BE9"/>
    <w:rsid w:val="000711F0"/>
    <w:rsid w:val="00071984"/>
    <w:rsid w:val="0007254C"/>
    <w:rsid w:val="00072AE0"/>
    <w:rsid w:val="00072C16"/>
    <w:rsid w:val="00072CE9"/>
    <w:rsid w:val="00076B36"/>
    <w:rsid w:val="000775CA"/>
    <w:rsid w:val="00082926"/>
    <w:rsid w:val="00083077"/>
    <w:rsid w:val="00083C45"/>
    <w:rsid w:val="00085E7C"/>
    <w:rsid w:val="000911FC"/>
    <w:rsid w:val="00096BE9"/>
    <w:rsid w:val="00096DC2"/>
    <w:rsid w:val="000A41E3"/>
    <w:rsid w:val="000A5E0E"/>
    <w:rsid w:val="000A78F2"/>
    <w:rsid w:val="000B0AE5"/>
    <w:rsid w:val="000B0BAD"/>
    <w:rsid w:val="000B2BC1"/>
    <w:rsid w:val="000B31BB"/>
    <w:rsid w:val="000B4614"/>
    <w:rsid w:val="000B5221"/>
    <w:rsid w:val="000B59C8"/>
    <w:rsid w:val="000B5B23"/>
    <w:rsid w:val="000B75FC"/>
    <w:rsid w:val="000C07A9"/>
    <w:rsid w:val="000C084F"/>
    <w:rsid w:val="000C1367"/>
    <w:rsid w:val="000C1AD7"/>
    <w:rsid w:val="000C3025"/>
    <w:rsid w:val="000C428B"/>
    <w:rsid w:val="000C5054"/>
    <w:rsid w:val="000D19B2"/>
    <w:rsid w:val="000D38C3"/>
    <w:rsid w:val="000D5BDA"/>
    <w:rsid w:val="000D6483"/>
    <w:rsid w:val="000E2517"/>
    <w:rsid w:val="000E38E0"/>
    <w:rsid w:val="000E66F5"/>
    <w:rsid w:val="000E6A3A"/>
    <w:rsid w:val="000E6E94"/>
    <w:rsid w:val="000E73D2"/>
    <w:rsid w:val="000F22C1"/>
    <w:rsid w:val="000F52D2"/>
    <w:rsid w:val="000F68FA"/>
    <w:rsid w:val="000F7F15"/>
    <w:rsid w:val="001020B6"/>
    <w:rsid w:val="00102412"/>
    <w:rsid w:val="00103801"/>
    <w:rsid w:val="00104870"/>
    <w:rsid w:val="00105AF7"/>
    <w:rsid w:val="00107498"/>
    <w:rsid w:val="0011231F"/>
    <w:rsid w:val="001132C4"/>
    <w:rsid w:val="001163A6"/>
    <w:rsid w:val="00117584"/>
    <w:rsid w:val="00117C5D"/>
    <w:rsid w:val="00121F15"/>
    <w:rsid w:val="00122824"/>
    <w:rsid w:val="00123B4D"/>
    <w:rsid w:val="00131C2F"/>
    <w:rsid w:val="001329AD"/>
    <w:rsid w:val="00133D66"/>
    <w:rsid w:val="00137A8D"/>
    <w:rsid w:val="0014143D"/>
    <w:rsid w:val="001414F9"/>
    <w:rsid w:val="00142F73"/>
    <w:rsid w:val="001475B6"/>
    <w:rsid w:val="00151898"/>
    <w:rsid w:val="00154168"/>
    <w:rsid w:val="00157423"/>
    <w:rsid w:val="00157DE4"/>
    <w:rsid w:val="001615EE"/>
    <w:rsid w:val="00164865"/>
    <w:rsid w:val="00164F74"/>
    <w:rsid w:val="001666C2"/>
    <w:rsid w:val="00166A0A"/>
    <w:rsid w:val="00166E77"/>
    <w:rsid w:val="0017030B"/>
    <w:rsid w:val="0017293A"/>
    <w:rsid w:val="00175803"/>
    <w:rsid w:val="0017647D"/>
    <w:rsid w:val="00177250"/>
    <w:rsid w:val="00180390"/>
    <w:rsid w:val="00181105"/>
    <w:rsid w:val="00181979"/>
    <w:rsid w:val="00181F31"/>
    <w:rsid w:val="0018237E"/>
    <w:rsid w:val="00184304"/>
    <w:rsid w:val="001858BA"/>
    <w:rsid w:val="001916A3"/>
    <w:rsid w:val="00192CCE"/>
    <w:rsid w:val="0019311E"/>
    <w:rsid w:val="00193652"/>
    <w:rsid w:val="00193902"/>
    <w:rsid w:val="001945EC"/>
    <w:rsid w:val="001952DC"/>
    <w:rsid w:val="001960B7"/>
    <w:rsid w:val="001968BF"/>
    <w:rsid w:val="00197BF8"/>
    <w:rsid w:val="001A01A8"/>
    <w:rsid w:val="001A35E0"/>
    <w:rsid w:val="001A4AEA"/>
    <w:rsid w:val="001A4E61"/>
    <w:rsid w:val="001A65E9"/>
    <w:rsid w:val="001A6E69"/>
    <w:rsid w:val="001A7252"/>
    <w:rsid w:val="001A7D11"/>
    <w:rsid w:val="001B2B9B"/>
    <w:rsid w:val="001B3E9E"/>
    <w:rsid w:val="001B6E4D"/>
    <w:rsid w:val="001C058B"/>
    <w:rsid w:val="001C0F4E"/>
    <w:rsid w:val="001C0FBA"/>
    <w:rsid w:val="001C692C"/>
    <w:rsid w:val="001C7757"/>
    <w:rsid w:val="001D1302"/>
    <w:rsid w:val="001D3E7A"/>
    <w:rsid w:val="001D405A"/>
    <w:rsid w:val="001D4B67"/>
    <w:rsid w:val="001D6F74"/>
    <w:rsid w:val="001D74F3"/>
    <w:rsid w:val="001D756F"/>
    <w:rsid w:val="001D7741"/>
    <w:rsid w:val="001D7D6E"/>
    <w:rsid w:val="001E1B5D"/>
    <w:rsid w:val="001E2880"/>
    <w:rsid w:val="001E2934"/>
    <w:rsid w:val="001E5CDA"/>
    <w:rsid w:val="001E6154"/>
    <w:rsid w:val="001E6825"/>
    <w:rsid w:val="001E6DA4"/>
    <w:rsid w:val="001E751A"/>
    <w:rsid w:val="001E7728"/>
    <w:rsid w:val="001F0093"/>
    <w:rsid w:val="001F2EA9"/>
    <w:rsid w:val="001F3E07"/>
    <w:rsid w:val="001F43EF"/>
    <w:rsid w:val="001F557B"/>
    <w:rsid w:val="001F676D"/>
    <w:rsid w:val="001F6B03"/>
    <w:rsid w:val="001F70A5"/>
    <w:rsid w:val="00204C38"/>
    <w:rsid w:val="0020761A"/>
    <w:rsid w:val="00210B3D"/>
    <w:rsid w:val="0021364C"/>
    <w:rsid w:val="002136DE"/>
    <w:rsid w:val="002227C6"/>
    <w:rsid w:val="00224143"/>
    <w:rsid w:val="00224E2A"/>
    <w:rsid w:val="00225F22"/>
    <w:rsid w:val="00232566"/>
    <w:rsid w:val="00233FFC"/>
    <w:rsid w:val="00234679"/>
    <w:rsid w:val="002346FD"/>
    <w:rsid w:val="00236C67"/>
    <w:rsid w:val="0024219B"/>
    <w:rsid w:val="00243051"/>
    <w:rsid w:val="00243440"/>
    <w:rsid w:val="0024394F"/>
    <w:rsid w:val="002444CC"/>
    <w:rsid w:val="00245683"/>
    <w:rsid w:val="002500A8"/>
    <w:rsid w:val="00252267"/>
    <w:rsid w:val="00254857"/>
    <w:rsid w:val="002637CF"/>
    <w:rsid w:val="00265B0C"/>
    <w:rsid w:val="002662CC"/>
    <w:rsid w:val="00266B2F"/>
    <w:rsid w:val="0027066A"/>
    <w:rsid w:val="0027151E"/>
    <w:rsid w:val="002715D6"/>
    <w:rsid w:val="00273E61"/>
    <w:rsid w:val="00274DEA"/>
    <w:rsid w:val="002756CC"/>
    <w:rsid w:val="00276127"/>
    <w:rsid w:val="00276F78"/>
    <w:rsid w:val="002802EF"/>
    <w:rsid w:val="002808CB"/>
    <w:rsid w:val="00280CAE"/>
    <w:rsid w:val="00280EC8"/>
    <w:rsid w:val="00281255"/>
    <w:rsid w:val="002820F0"/>
    <w:rsid w:val="002836CF"/>
    <w:rsid w:val="00284A33"/>
    <w:rsid w:val="00284B76"/>
    <w:rsid w:val="002867B2"/>
    <w:rsid w:val="00291098"/>
    <w:rsid w:val="00292BDF"/>
    <w:rsid w:val="00294FF6"/>
    <w:rsid w:val="002951C2"/>
    <w:rsid w:val="0029563D"/>
    <w:rsid w:val="002A0AD0"/>
    <w:rsid w:val="002A10E7"/>
    <w:rsid w:val="002A331B"/>
    <w:rsid w:val="002A34FC"/>
    <w:rsid w:val="002A5743"/>
    <w:rsid w:val="002A69BC"/>
    <w:rsid w:val="002A709E"/>
    <w:rsid w:val="002B0936"/>
    <w:rsid w:val="002B6559"/>
    <w:rsid w:val="002B65FD"/>
    <w:rsid w:val="002B745F"/>
    <w:rsid w:val="002C1BF9"/>
    <w:rsid w:val="002C23FA"/>
    <w:rsid w:val="002C33B3"/>
    <w:rsid w:val="002C3EE9"/>
    <w:rsid w:val="002C5F30"/>
    <w:rsid w:val="002C77B9"/>
    <w:rsid w:val="002D0517"/>
    <w:rsid w:val="002D2D7F"/>
    <w:rsid w:val="002D6DDB"/>
    <w:rsid w:val="002D709D"/>
    <w:rsid w:val="002D7B89"/>
    <w:rsid w:val="002E08BE"/>
    <w:rsid w:val="002E1EDE"/>
    <w:rsid w:val="002E2B4C"/>
    <w:rsid w:val="002E312C"/>
    <w:rsid w:val="002E701F"/>
    <w:rsid w:val="002F3231"/>
    <w:rsid w:val="002F7A0C"/>
    <w:rsid w:val="00300840"/>
    <w:rsid w:val="00300B56"/>
    <w:rsid w:val="0030113C"/>
    <w:rsid w:val="00303F50"/>
    <w:rsid w:val="0030413C"/>
    <w:rsid w:val="00305507"/>
    <w:rsid w:val="00310570"/>
    <w:rsid w:val="003120AA"/>
    <w:rsid w:val="0031441A"/>
    <w:rsid w:val="003145E2"/>
    <w:rsid w:val="00316338"/>
    <w:rsid w:val="00316742"/>
    <w:rsid w:val="00317FB9"/>
    <w:rsid w:val="003234D6"/>
    <w:rsid w:val="0032362B"/>
    <w:rsid w:val="00325EB3"/>
    <w:rsid w:val="00326BB6"/>
    <w:rsid w:val="00327463"/>
    <w:rsid w:val="00327D3D"/>
    <w:rsid w:val="003313C5"/>
    <w:rsid w:val="00331A21"/>
    <w:rsid w:val="00332866"/>
    <w:rsid w:val="0033300F"/>
    <w:rsid w:val="00336EE4"/>
    <w:rsid w:val="0033777B"/>
    <w:rsid w:val="0034120A"/>
    <w:rsid w:val="00345200"/>
    <w:rsid w:val="0034591E"/>
    <w:rsid w:val="00346F34"/>
    <w:rsid w:val="003475C5"/>
    <w:rsid w:val="0035010E"/>
    <w:rsid w:val="0035179D"/>
    <w:rsid w:val="00351954"/>
    <w:rsid w:val="00353241"/>
    <w:rsid w:val="0035376C"/>
    <w:rsid w:val="003571A7"/>
    <w:rsid w:val="00357674"/>
    <w:rsid w:val="00357E4C"/>
    <w:rsid w:val="00361959"/>
    <w:rsid w:val="00363242"/>
    <w:rsid w:val="00366D85"/>
    <w:rsid w:val="00372526"/>
    <w:rsid w:val="00372EC8"/>
    <w:rsid w:val="00380793"/>
    <w:rsid w:val="00381B8C"/>
    <w:rsid w:val="003872E6"/>
    <w:rsid w:val="00387931"/>
    <w:rsid w:val="0039094D"/>
    <w:rsid w:val="00390C4E"/>
    <w:rsid w:val="00393F08"/>
    <w:rsid w:val="00395D27"/>
    <w:rsid w:val="00397481"/>
    <w:rsid w:val="003A0811"/>
    <w:rsid w:val="003A2934"/>
    <w:rsid w:val="003A2D7B"/>
    <w:rsid w:val="003B00B0"/>
    <w:rsid w:val="003B0381"/>
    <w:rsid w:val="003B08DF"/>
    <w:rsid w:val="003B2117"/>
    <w:rsid w:val="003B3323"/>
    <w:rsid w:val="003B4763"/>
    <w:rsid w:val="003B5E21"/>
    <w:rsid w:val="003B5E30"/>
    <w:rsid w:val="003B7DB7"/>
    <w:rsid w:val="003C0671"/>
    <w:rsid w:val="003C1B7E"/>
    <w:rsid w:val="003C27DC"/>
    <w:rsid w:val="003C7066"/>
    <w:rsid w:val="003C7A4A"/>
    <w:rsid w:val="003C7D33"/>
    <w:rsid w:val="003C7E38"/>
    <w:rsid w:val="003D0967"/>
    <w:rsid w:val="003D10D0"/>
    <w:rsid w:val="003D3936"/>
    <w:rsid w:val="003D66A8"/>
    <w:rsid w:val="003E03AD"/>
    <w:rsid w:val="003E0D37"/>
    <w:rsid w:val="003E5938"/>
    <w:rsid w:val="003E5DFE"/>
    <w:rsid w:val="003E64B4"/>
    <w:rsid w:val="003E6DDF"/>
    <w:rsid w:val="003F1E07"/>
    <w:rsid w:val="003F26F3"/>
    <w:rsid w:val="003F3474"/>
    <w:rsid w:val="003F4C03"/>
    <w:rsid w:val="003F4F04"/>
    <w:rsid w:val="003F6610"/>
    <w:rsid w:val="003F7F22"/>
    <w:rsid w:val="004016AC"/>
    <w:rsid w:val="004017A6"/>
    <w:rsid w:val="00401D68"/>
    <w:rsid w:val="00401FF8"/>
    <w:rsid w:val="004027A2"/>
    <w:rsid w:val="00402B36"/>
    <w:rsid w:val="00404435"/>
    <w:rsid w:val="00404950"/>
    <w:rsid w:val="00404C29"/>
    <w:rsid w:val="00406D47"/>
    <w:rsid w:val="00407789"/>
    <w:rsid w:val="00411604"/>
    <w:rsid w:val="004121C7"/>
    <w:rsid w:val="004127C3"/>
    <w:rsid w:val="00412AAF"/>
    <w:rsid w:val="00414BA8"/>
    <w:rsid w:val="00421703"/>
    <w:rsid w:val="004219BD"/>
    <w:rsid w:val="00422820"/>
    <w:rsid w:val="00422A7D"/>
    <w:rsid w:val="00424D9F"/>
    <w:rsid w:val="0042528A"/>
    <w:rsid w:val="004266CA"/>
    <w:rsid w:val="00427992"/>
    <w:rsid w:val="00431862"/>
    <w:rsid w:val="00432339"/>
    <w:rsid w:val="00433B7B"/>
    <w:rsid w:val="00433FE4"/>
    <w:rsid w:val="00440331"/>
    <w:rsid w:val="00440393"/>
    <w:rsid w:val="00441D69"/>
    <w:rsid w:val="004430B8"/>
    <w:rsid w:val="004439A2"/>
    <w:rsid w:val="00444C19"/>
    <w:rsid w:val="00446244"/>
    <w:rsid w:val="00447968"/>
    <w:rsid w:val="00453B04"/>
    <w:rsid w:val="00455929"/>
    <w:rsid w:val="0045615E"/>
    <w:rsid w:val="00456B25"/>
    <w:rsid w:val="00457D4F"/>
    <w:rsid w:val="00461CB3"/>
    <w:rsid w:val="00461DC4"/>
    <w:rsid w:val="004654D8"/>
    <w:rsid w:val="0046671D"/>
    <w:rsid w:val="0046674E"/>
    <w:rsid w:val="00466B15"/>
    <w:rsid w:val="004706CC"/>
    <w:rsid w:val="00470702"/>
    <w:rsid w:val="0047097A"/>
    <w:rsid w:val="00470B33"/>
    <w:rsid w:val="00470BD4"/>
    <w:rsid w:val="0047224C"/>
    <w:rsid w:val="00472D09"/>
    <w:rsid w:val="0047686C"/>
    <w:rsid w:val="00477316"/>
    <w:rsid w:val="00480CD2"/>
    <w:rsid w:val="00480E7E"/>
    <w:rsid w:val="00482154"/>
    <w:rsid w:val="0049078D"/>
    <w:rsid w:val="004930B3"/>
    <w:rsid w:val="00494468"/>
    <w:rsid w:val="00495087"/>
    <w:rsid w:val="0049638E"/>
    <w:rsid w:val="00496738"/>
    <w:rsid w:val="004A13A7"/>
    <w:rsid w:val="004A205D"/>
    <w:rsid w:val="004A64B6"/>
    <w:rsid w:val="004B10CC"/>
    <w:rsid w:val="004B3588"/>
    <w:rsid w:val="004B3D11"/>
    <w:rsid w:val="004B461A"/>
    <w:rsid w:val="004B4F84"/>
    <w:rsid w:val="004B5F8F"/>
    <w:rsid w:val="004B618C"/>
    <w:rsid w:val="004C13F3"/>
    <w:rsid w:val="004C3B56"/>
    <w:rsid w:val="004D095D"/>
    <w:rsid w:val="004D2B45"/>
    <w:rsid w:val="004D651C"/>
    <w:rsid w:val="004E15AC"/>
    <w:rsid w:val="004E1D59"/>
    <w:rsid w:val="004E2D01"/>
    <w:rsid w:val="004E67BF"/>
    <w:rsid w:val="004F0F9F"/>
    <w:rsid w:val="004F3C12"/>
    <w:rsid w:val="004F419D"/>
    <w:rsid w:val="004F4D2A"/>
    <w:rsid w:val="004F5AE4"/>
    <w:rsid w:val="004F6CDC"/>
    <w:rsid w:val="004F718A"/>
    <w:rsid w:val="005005E0"/>
    <w:rsid w:val="00501D37"/>
    <w:rsid w:val="00504B23"/>
    <w:rsid w:val="00506F2A"/>
    <w:rsid w:val="00507249"/>
    <w:rsid w:val="00507D05"/>
    <w:rsid w:val="0051004E"/>
    <w:rsid w:val="0051221C"/>
    <w:rsid w:val="00515247"/>
    <w:rsid w:val="00515426"/>
    <w:rsid w:val="00515A55"/>
    <w:rsid w:val="00517989"/>
    <w:rsid w:val="00517D0F"/>
    <w:rsid w:val="00522AB7"/>
    <w:rsid w:val="0052591A"/>
    <w:rsid w:val="00526189"/>
    <w:rsid w:val="00527EDA"/>
    <w:rsid w:val="005305E8"/>
    <w:rsid w:val="005313FE"/>
    <w:rsid w:val="0053266A"/>
    <w:rsid w:val="005329B4"/>
    <w:rsid w:val="0054349D"/>
    <w:rsid w:val="005473BC"/>
    <w:rsid w:val="0055008A"/>
    <w:rsid w:val="00552BD7"/>
    <w:rsid w:val="00555B43"/>
    <w:rsid w:val="005565C8"/>
    <w:rsid w:val="00556ADF"/>
    <w:rsid w:val="00563307"/>
    <w:rsid w:val="005633CE"/>
    <w:rsid w:val="005634AF"/>
    <w:rsid w:val="00563FAD"/>
    <w:rsid w:val="005645D5"/>
    <w:rsid w:val="00566A86"/>
    <w:rsid w:val="00567065"/>
    <w:rsid w:val="005701EE"/>
    <w:rsid w:val="00570CF9"/>
    <w:rsid w:val="005712EB"/>
    <w:rsid w:val="00571BCD"/>
    <w:rsid w:val="0057278B"/>
    <w:rsid w:val="00573479"/>
    <w:rsid w:val="005740A9"/>
    <w:rsid w:val="00575304"/>
    <w:rsid w:val="0058157E"/>
    <w:rsid w:val="005828B4"/>
    <w:rsid w:val="00583EFB"/>
    <w:rsid w:val="0058467A"/>
    <w:rsid w:val="00586AD2"/>
    <w:rsid w:val="00586D62"/>
    <w:rsid w:val="00587816"/>
    <w:rsid w:val="00590EBE"/>
    <w:rsid w:val="00591C90"/>
    <w:rsid w:val="00591E3C"/>
    <w:rsid w:val="005927AB"/>
    <w:rsid w:val="005927EE"/>
    <w:rsid w:val="0059358F"/>
    <w:rsid w:val="00594079"/>
    <w:rsid w:val="0059473D"/>
    <w:rsid w:val="00597B50"/>
    <w:rsid w:val="005A04AE"/>
    <w:rsid w:val="005A3D6C"/>
    <w:rsid w:val="005A67DD"/>
    <w:rsid w:val="005A69A2"/>
    <w:rsid w:val="005B1C16"/>
    <w:rsid w:val="005B2A45"/>
    <w:rsid w:val="005B2A8E"/>
    <w:rsid w:val="005B40F9"/>
    <w:rsid w:val="005B7A1B"/>
    <w:rsid w:val="005B7EC7"/>
    <w:rsid w:val="005C10A4"/>
    <w:rsid w:val="005C1538"/>
    <w:rsid w:val="005C6FB3"/>
    <w:rsid w:val="005C70A0"/>
    <w:rsid w:val="005D03C4"/>
    <w:rsid w:val="005D34F5"/>
    <w:rsid w:val="005D3B2D"/>
    <w:rsid w:val="005D4F85"/>
    <w:rsid w:val="005D57F3"/>
    <w:rsid w:val="005D5A00"/>
    <w:rsid w:val="005D6A3A"/>
    <w:rsid w:val="005E01F8"/>
    <w:rsid w:val="005E3161"/>
    <w:rsid w:val="005E44E8"/>
    <w:rsid w:val="005E4AE5"/>
    <w:rsid w:val="005E5411"/>
    <w:rsid w:val="005E65F0"/>
    <w:rsid w:val="005E7393"/>
    <w:rsid w:val="005F190E"/>
    <w:rsid w:val="005F1F71"/>
    <w:rsid w:val="005F4CF9"/>
    <w:rsid w:val="005F5036"/>
    <w:rsid w:val="005F52EF"/>
    <w:rsid w:val="005F55CC"/>
    <w:rsid w:val="005F5DA5"/>
    <w:rsid w:val="005F7127"/>
    <w:rsid w:val="005F7325"/>
    <w:rsid w:val="0060229A"/>
    <w:rsid w:val="00602ABA"/>
    <w:rsid w:val="00602D1E"/>
    <w:rsid w:val="006036E9"/>
    <w:rsid w:val="006067AD"/>
    <w:rsid w:val="0060683A"/>
    <w:rsid w:val="00611FA2"/>
    <w:rsid w:val="00613945"/>
    <w:rsid w:val="006141BA"/>
    <w:rsid w:val="006147E7"/>
    <w:rsid w:val="00614BC0"/>
    <w:rsid w:val="0061514A"/>
    <w:rsid w:val="006152CB"/>
    <w:rsid w:val="0061605C"/>
    <w:rsid w:val="006168DF"/>
    <w:rsid w:val="006177CB"/>
    <w:rsid w:val="00621071"/>
    <w:rsid w:val="00621B7D"/>
    <w:rsid w:val="006226EC"/>
    <w:rsid w:val="00624B62"/>
    <w:rsid w:val="0062694B"/>
    <w:rsid w:val="006317BF"/>
    <w:rsid w:val="00631DB7"/>
    <w:rsid w:val="00635649"/>
    <w:rsid w:val="00641442"/>
    <w:rsid w:val="006426AE"/>
    <w:rsid w:val="00642C3E"/>
    <w:rsid w:val="00645492"/>
    <w:rsid w:val="0064592F"/>
    <w:rsid w:val="00645C70"/>
    <w:rsid w:val="00645CF5"/>
    <w:rsid w:val="00647262"/>
    <w:rsid w:val="006478F4"/>
    <w:rsid w:val="00650351"/>
    <w:rsid w:val="00650780"/>
    <w:rsid w:val="00652ACC"/>
    <w:rsid w:val="00653F06"/>
    <w:rsid w:val="00657F65"/>
    <w:rsid w:val="006603DF"/>
    <w:rsid w:val="00665D68"/>
    <w:rsid w:val="0067014E"/>
    <w:rsid w:val="00671EA3"/>
    <w:rsid w:val="006723D1"/>
    <w:rsid w:val="00672E30"/>
    <w:rsid w:val="0067393E"/>
    <w:rsid w:val="00673D85"/>
    <w:rsid w:val="00676E11"/>
    <w:rsid w:val="00680315"/>
    <w:rsid w:val="0068546A"/>
    <w:rsid w:val="00685E0E"/>
    <w:rsid w:val="006867A2"/>
    <w:rsid w:val="00694334"/>
    <w:rsid w:val="0069520E"/>
    <w:rsid w:val="00695B54"/>
    <w:rsid w:val="006A19FF"/>
    <w:rsid w:val="006A5D9C"/>
    <w:rsid w:val="006A787A"/>
    <w:rsid w:val="006B1DE1"/>
    <w:rsid w:val="006B260E"/>
    <w:rsid w:val="006B2AE0"/>
    <w:rsid w:val="006B3FCE"/>
    <w:rsid w:val="006B5B99"/>
    <w:rsid w:val="006B6417"/>
    <w:rsid w:val="006B7163"/>
    <w:rsid w:val="006C1460"/>
    <w:rsid w:val="006C421D"/>
    <w:rsid w:val="006C4703"/>
    <w:rsid w:val="006C579D"/>
    <w:rsid w:val="006D0276"/>
    <w:rsid w:val="006D0599"/>
    <w:rsid w:val="006D152C"/>
    <w:rsid w:val="006D34E3"/>
    <w:rsid w:val="006D3749"/>
    <w:rsid w:val="006D3FE9"/>
    <w:rsid w:val="006D65D0"/>
    <w:rsid w:val="006E129B"/>
    <w:rsid w:val="006E1B74"/>
    <w:rsid w:val="006E509D"/>
    <w:rsid w:val="006E6030"/>
    <w:rsid w:val="006E6A7F"/>
    <w:rsid w:val="006F06EC"/>
    <w:rsid w:val="006F19EA"/>
    <w:rsid w:val="006F4070"/>
    <w:rsid w:val="006F5A96"/>
    <w:rsid w:val="00700E77"/>
    <w:rsid w:val="00700FE2"/>
    <w:rsid w:val="00702CAF"/>
    <w:rsid w:val="00704940"/>
    <w:rsid w:val="007049CD"/>
    <w:rsid w:val="00704FF3"/>
    <w:rsid w:val="00705417"/>
    <w:rsid w:val="0070555A"/>
    <w:rsid w:val="0070727D"/>
    <w:rsid w:val="0071034C"/>
    <w:rsid w:val="00715105"/>
    <w:rsid w:val="0071524D"/>
    <w:rsid w:val="0071669A"/>
    <w:rsid w:val="007167D6"/>
    <w:rsid w:val="00716843"/>
    <w:rsid w:val="0071688E"/>
    <w:rsid w:val="007218DC"/>
    <w:rsid w:val="0072197D"/>
    <w:rsid w:val="00723F96"/>
    <w:rsid w:val="00724609"/>
    <w:rsid w:val="007252E3"/>
    <w:rsid w:val="00732D04"/>
    <w:rsid w:val="00733950"/>
    <w:rsid w:val="00733D02"/>
    <w:rsid w:val="0073545C"/>
    <w:rsid w:val="0073582A"/>
    <w:rsid w:val="0073594E"/>
    <w:rsid w:val="0074043D"/>
    <w:rsid w:val="007412C4"/>
    <w:rsid w:val="0074235F"/>
    <w:rsid w:val="007437E5"/>
    <w:rsid w:val="007453CC"/>
    <w:rsid w:val="00750ABD"/>
    <w:rsid w:val="00757C6D"/>
    <w:rsid w:val="0076035E"/>
    <w:rsid w:val="00760888"/>
    <w:rsid w:val="00760DEB"/>
    <w:rsid w:val="007642AE"/>
    <w:rsid w:val="007654CE"/>
    <w:rsid w:val="0076615F"/>
    <w:rsid w:val="00767CFE"/>
    <w:rsid w:val="00770FFE"/>
    <w:rsid w:val="00777254"/>
    <w:rsid w:val="0078184A"/>
    <w:rsid w:val="0078192F"/>
    <w:rsid w:val="00782221"/>
    <w:rsid w:val="007864D1"/>
    <w:rsid w:val="00790F1B"/>
    <w:rsid w:val="0079280D"/>
    <w:rsid w:val="0079424A"/>
    <w:rsid w:val="00797717"/>
    <w:rsid w:val="00797A8B"/>
    <w:rsid w:val="007A4816"/>
    <w:rsid w:val="007A5E5B"/>
    <w:rsid w:val="007B1053"/>
    <w:rsid w:val="007B2659"/>
    <w:rsid w:val="007B4929"/>
    <w:rsid w:val="007C3290"/>
    <w:rsid w:val="007C516A"/>
    <w:rsid w:val="007C7286"/>
    <w:rsid w:val="007D05B3"/>
    <w:rsid w:val="007D1216"/>
    <w:rsid w:val="007D41A7"/>
    <w:rsid w:val="007D43B0"/>
    <w:rsid w:val="007D559B"/>
    <w:rsid w:val="007D7A8B"/>
    <w:rsid w:val="007E0381"/>
    <w:rsid w:val="007E1CAC"/>
    <w:rsid w:val="007E2794"/>
    <w:rsid w:val="007E2F61"/>
    <w:rsid w:val="007E6B3F"/>
    <w:rsid w:val="007E6B97"/>
    <w:rsid w:val="007E6D76"/>
    <w:rsid w:val="007E744F"/>
    <w:rsid w:val="007F3AA6"/>
    <w:rsid w:val="007F3C2A"/>
    <w:rsid w:val="007F5F9C"/>
    <w:rsid w:val="007F6C8C"/>
    <w:rsid w:val="007F769E"/>
    <w:rsid w:val="008004D8"/>
    <w:rsid w:val="0080233D"/>
    <w:rsid w:val="00802604"/>
    <w:rsid w:val="00804C94"/>
    <w:rsid w:val="00806CC5"/>
    <w:rsid w:val="008139F4"/>
    <w:rsid w:val="00814481"/>
    <w:rsid w:val="00814C8A"/>
    <w:rsid w:val="00815AB8"/>
    <w:rsid w:val="00822F9E"/>
    <w:rsid w:val="00823AC6"/>
    <w:rsid w:val="0082404D"/>
    <w:rsid w:val="0082477D"/>
    <w:rsid w:val="00827BFA"/>
    <w:rsid w:val="00832A22"/>
    <w:rsid w:val="008343D6"/>
    <w:rsid w:val="00840223"/>
    <w:rsid w:val="00840E09"/>
    <w:rsid w:val="00842122"/>
    <w:rsid w:val="008423C3"/>
    <w:rsid w:val="00842B8E"/>
    <w:rsid w:val="0084344D"/>
    <w:rsid w:val="00850C3E"/>
    <w:rsid w:val="00850C45"/>
    <w:rsid w:val="008539C9"/>
    <w:rsid w:val="00853CB1"/>
    <w:rsid w:val="008606E3"/>
    <w:rsid w:val="00861A5D"/>
    <w:rsid w:val="00862827"/>
    <w:rsid w:val="00863EBE"/>
    <w:rsid w:val="008641A7"/>
    <w:rsid w:val="00864529"/>
    <w:rsid w:val="0087088A"/>
    <w:rsid w:val="00873918"/>
    <w:rsid w:val="0087503A"/>
    <w:rsid w:val="00875706"/>
    <w:rsid w:val="00875DE8"/>
    <w:rsid w:val="0087793F"/>
    <w:rsid w:val="00880266"/>
    <w:rsid w:val="00881A7B"/>
    <w:rsid w:val="00881F01"/>
    <w:rsid w:val="008822C5"/>
    <w:rsid w:val="00884C6C"/>
    <w:rsid w:val="008864B6"/>
    <w:rsid w:val="00886B71"/>
    <w:rsid w:val="00891B5A"/>
    <w:rsid w:val="0089398B"/>
    <w:rsid w:val="008939C6"/>
    <w:rsid w:val="00896A86"/>
    <w:rsid w:val="00897EF5"/>
    <w:rsid w:val="008A267A"/>
    <w:rsid w:val="008A574C"/>
    <w:rsid w:val="008A68C0"/>
    <w:rsid w:val="008B21F5"/>
    <w:rsid w:val="008B2BEC"/>
    <w:rsid w:val="008B3D6E"/>
    <w:rsid w:val="008B4318"/>
    <w:rsid w:val="008B4948"/>
    <w:rsid w:val="008B555B"/>
    <w:rsid w:val="008B7836"/>
    <w:rsid w:val="008C028F"/>
    <w:rsid w:val="008C087D"/>
    <w:rsid w:val="008C17C6"/>
    <w:rsid w:val="008C20A0"/>
    <w:rsid w:val="008C2C71"/>
    <w:rsid w:val="008C713E"/>
    <w:rsid w:val="008C76AD"/>
    <w:rsid w:val="008D04EB"/>
    <w:rsid w:val="008D1288"/>
    <w:rsid w:val="008D16E1"/>
    <w:rsid w:val="008D27AE"/>
    <w:rsid w:val="008D327B"/>
    <w:rsid w:val="008D364E"/>
    <w:rsid w:val="008D3DB5"/>
    <w:rsid w:val="008D49D0"/>
    <w:rsid w:val="008D4CB7"/>
    <w:rsid w:val="008D5FCE"/>
    <w:rsid w:val="008D6F20"/>
    <w:rsid w:val="008D7BF1"/>
    <w:rsid w:val="008E09E2"/>
    <w:rsid w:val="008E3D40"/>
    <w:rsid w:val="008E483E"/>
    <w:rsid w:val="008E67B2"/>
    <w:rsid w:val="008E6F54"/>
    <w:rsid w:val="008E6FA5"/>
    <w:rsid w:val="008E74F8"/>
    <w:rsid w:val="008F1D10"/>
    <w:rsid w:val="008F1F7A"/>
    <w:rsid w:val="008F3FFB"/>
    <w:rsid w:val="009006EA"/>
    <w:rsid w:val="00903B84"/>
    <w:rsid w:val="00904AD5"/>
    <w:rsid w:val="00905173"/>
    <w:rsid w:val="00907506"/>
    <w:rsid w:val="00910859"/>
    <w:rsid w:val="009124F9"/>
    <w:rsid w:val="00913BCB"/>
    <w:rsid w:val="00914FFF"/>
    <w:rsid w:val="009202FF"/>
    <w:rsid w:val="00920DDE"/>
    <w:rsid w:val="009212E0"/>
    <w:rsid w:val="00921CC7"/>
    <w:rsid w:val="009228D0"/>
    <w:rsid w:val="009271BD"/>
    <w:rsid w:val="00927E7C"/>
    <w:rsid w:val="00930206"/>
    <w:rsid w:val="00931594"/>
    <w:rsid w:val="00932FD5"/>
    <w:rsid w:val="00934B4E"/>
    <w:rsid w:val="00934C2F"/>
    <w:rsid w:val="00936A3D"/>
    <w:rsid w:val="0093708B"/>
    <w:rsid w:val="009374BD"/>
    <w:rsid w:val="009403E8"/>
    <w:rsid w:val="00941F75"/>
    <w:rsid w:val="009444A0"/>
    <w:rsid w:val="009457FC"/>
    <w:rsid w:val="00947DA7"/>
    <w:rsid w:val="00951CFA"/>
    <w:rsid w:val="00952D12"/>
    <w:rsid w:val="00955140"/>
    <w:rsid w:val="009574FF"/>
    <w:rsid w:val="0095774F"/>
    <w:rsid w:val="009621BD"/>
    <w:rsid w:val="009672AF"/>
    <w:rsid w:val="009712E6"/>
    <w:rsid w:val="00974999"/>
    <w:rsid w:val="00975880"/>
    <w:rsid w:val="00975FF6"/>
    <w:rsid w:val="0097630E"/>
    <w:rsid w:val="009769EF"/>
    <w:rsid w:val="0098238F"/>
    <w:rsid w:val="00984032"/>
    <w:rsid w:val="0099094D"/>
    <w:rsid w:val="00990FFF"/>
    <w:rsid w:val="0099401F"/>
    <w:rsid w:val="00995504"/>
    <w:rsid w:val="0099770F"/>
    <w:rsid w:val="009A03C3"/>
    <w:rsid w:val="009A14EF"/>
    <w:rsid w:val="009A4A5A"/>
    <w:rsid w:val="009B0BBF"/>
    <w:rsid w:val="009B1C22"/>
    <w:rsid w:val="009B6E88"/>
    <w:rsid w:val="009B7134"/>
    <w:rsid w:val="009C173C"/>
    <w:rsid w:val="009C1F47"/>
    <w:rsid w:val="009C25C1"/>
    <w:rsid w:val="009C2C75"/>
    <w:rsid w:val="009C32C8"/>
    <w:rsid w:val="009C5035"/>
    <w:rsid w:val="009C5B80"/>
    <w:rsid w:val="009C7F8A"/>
    <w:rsid w:val="009D07EB"/>
    <w:rsid w:val="009D1CA6"/>
    <w:rsid w:val="009D3BE7"/>
    <w:rsid w:val="009D4E1E"/>
    <w:rsid w:val="009D579F"/>
    <w:rsid w:val="009D67FF"/>
    <w:rsid w:val="009D7CCF"/>
    <w:rsid w:val="009E1185"/>
    <w:rsid w:val="009E11D3"/>
    <w:rsid w:val="009E36D8"/>
    <w:rsid w:val="009E5B89"/>
    <w:rsid w:val="009E67A4"/>
    <w:rsid w:val="009E706D"/>
    <w:rsid w:val="009E7661"/>
    <w:rsid w:val="009F02EB"/>
    <w:rsid w:val="009F1B83"/>
    <w:rsid w:val="009F2D3F"/>
    <w:rsid w:val="009F3906"/>
    <w:rsid w:val="009F3967"/>
    <w:rsid w:val="00A01AC9"/>
    <w:rsid w:val="00A03ECF"/>
    <w:rsid w:val="00A05D74"/>
    <w:rsid w:val="00A12A80"/>
    <w:rsid w:val="00A15BD2"/>
    <w:rsid w:val="00A16753"/>
    <w:rsid w:val="00A17A08"/>
    <w:rsid w:val="00A21EC3"/>
    <w:rsid w:val="00A23062"/>
    <w:rsid w:val="00A23E1B"/>
    <w:rsid w:val="00A25C8C"/>
    <w:rsid w:val="00A26B1E"/>
    <w:rsid w:val="00A315F1"/>
    <w:rsid w:val="00A33F77"/>
    <w:rsid w:val="00A365BD"/>
    <w:rsid w:val="00A37014"/>
    <w:rsid w:val="00A419DB"/>
    <w:rsid w:val="00A42B6E"/>
    <w:rsid w:val="00A437E7"/>
    <w:rsid w:val="00A43D52"/>
    <w:rsid w:val="00A46021"/>
    <w:rsid w:val="00A46BB1"/>
    <w:rsid w:val="00A47CE5"/>
    <w:rsid w:val="00A50A71"/>
    <w:rsid w:val="00A53A72"/>
    <w:rsid w:val="00A53D95"/>
    <w:rsid w:val="00A54A6E"/>
    <w:rsid w:val="00A56C07"/>
    <w:rsid w:val="00A578F4"/>
    <w:rsid w:val="00A57906"/>
    <w:rsid w:val="00A62461"/>
    <w:rsid w:val="00A62571"/>
    <w:rsid w:val="00A65C96"/>
    <w:rsid w:val="00A661DE"/>
    <w:rsid w:val="00A7397D"/>
    <w:rsid w:val="00A73B9F"/>
    <w:rsid w:val="00A74A24"/>
    <w:rsid w:val="00A75DED"/>
    <w:rsid w:val="00A76F55"/>
    <w:rsid w:val="00A77152"/>
    <w:rsid w:val="00A8142C"/>
    <w:rsid w:val="00A83AD0"/>
    <w:rsid w:val="00A851E8"/>
    <w:rsid w:val="00A87205"/>
    <w:rsid w:val="00A93C5E"/>
    <w:rsid w:val="00A95C3B"/>
    <w:rsid w:val="00A97EC5"/>
    <w:rsid w:val="00AA0B7F"/>
    <w:rsid w:val="00AA194E"/>
    <w:rsid w:val="00AA2FCF"/>
    <w:rsid w:val="00AA34F1"/>
    <w:rsid w:val="00AA353B"/>
    <w:rsid w:val="00AA47F8"/>
    <w:rsid w:val="00AA56F7"/>
    <w:rsid w:val="00AA62A2"/>
    <w:rsid w:val="00AA75A7"/>
    <w:rsid w:val="00AB2DD5"/>
    <w:rsid w:val="00AB393D"/>
    <w:rsid w:val="00AB468E"/>
    <w:rsid w:val="00AB5AF7"/>
    <w:rsid w:val="00AB6083"/>
    <w:rsid w:val="00AB76BE"/>
    <w:rsid w:val="00AB7B84"/>
    <w:rsid w:val="00AB7E71"/>
    <w:rsid w:val="00AC0251"/>
    <w:rsid w:val="00AC06EE"/>
    <w:rsid w:val="00AC1278"/>
    <w:rsid w:val="00AC41AA"/>
    <w:rsid w:val="00AC4518"/>
    <w:rsid w:val="00AC554A"/>
    <w:rsid w:val="00AD33C7"/>
    <w:rsid w:val="00AD3B09"/>
    <w:rsid w:val="00AD4958"/>
    <w:rsid w:val="00AD558A"/>
    <w:rsid w:val="00AD66AD"/>
    <w:rsid w:val="00AD698C"/>
    <w:rsid w:val="00AD7CE2"/>
    <w:rsid w:val="00AE0836"/>
    <w:rsid w:val="00AE1BAC"/>
    <w:rsid w:val="00AE239C"/>
    <w:rsid w:val="00AE3130"/>
    <w:rsid w:val="00AE503E"/>
    <w:rsid w:val="00AE5F0D"/>
    <w:rsid w:val="00AF0145"/>
    <w:rsid w:val="00AF0B45"/>
    <w:rsid w:val="00AF316B"/>
    <w:rsid w:val="00AF391A"/>
    <w:rsid w:val="00AF3C30"/>
    <w:rsid w:val="00AF4B5D"/>
    <w:rsid w:val="00AF7676"/>
    <w:rsid w:val="00B00806"/>
    <w:rsid w:val="00B009CF"/>
    <w:rsid w:val="00B023C4"/>
    <w:rsid w:val="00B027E9"/>
    <w:rsid w:val="00B055DE"/>
    <w:rsid w:val="00B07591"/>
    <w:rsid w:val="00B07D1C"/>
    <w:rsid w:val="00B12B59"/>
    <w:rsid w:val="00B140C7"/>
    <w:rsid w:val="00B155E5"/>
    <w:rsid w:val="00B16408"/>
    <w:rsid w:val="00B17A50"/>
    <w:rsid w:val="00B20916"/>
    <w:rsid w:val="00B20A84"/>
    <w:rsid w:val="00B20DAC"/>
    <w:rsid w:val="00B21563"/>
    <w:rsid w:val="00B218F9"/>
    <w:rsid w:val="00B21D04"/>
    <w:rsid w:val="00B23626"/>
    <w:rsid w:val="00B23F87"/>
    <w:rsid w:val="00B26CFF"/>
    <w:rsid w:val="00B30CA0"/>
    <w:rsid w:val="00B318BF"/>
    <w:rsid w:val="00B35376"/>
    <w:rsid w:val="00B35E6D"/>
    <w:rsid w:val="00B42050"/>
    <w:rsid w:val="00B4322C"/>
    <w:rsid w:val="00B474B3"/>
    <w:rsid w:val="00B474BD"/>
    <w:rsid w:val="00B47B1E"/>
    <w:rsid w:val="00B51911"/>
    <w:rsid w:val="00B527D1"/>
    <w:rsid w:val="00B53DDA"/>
    <w:rsid w:val="00B561ED"/>
    <w:rsid w:val="00B564F8"/>
    <w:rsid w:val="00B57BFC"/>
    <w:rsid w:val="00B626CF"/>
    <w:rsid w:val="00B63ABC"/>
    <w:rsid w:val="00B65794"/>
    <w:rsid w:val="00B66290"/>
    <w:rsid w:val="00B66474"/>
    <w:rsid w:val="00B66DE5"/>
    <w:rsid w:val="00B702A3"/>
    <w:rsid w:val="00B7122B"/>
    <w:rsid w:val="00B72828"/>
    <w:rsid w:val="00B73850"/>
    <w:rsid w:val="00B7396A"/>
    <w:rsid w:val="00B779FD"/>
    <w:rsid w:val="00B81D7B"/>
    <w:rsid w:val="00B848E4"/>
    <w:rsid w:val="00B84C56"/>
    <w:rsid w:val="00B86DB1"/>
    <w:rsid w:val="00B913AD"/>
    <w:rsid w:val="00B91AF8"/>
    <w:rsid w:val="00BA334E"/>
    <w:rsid w:val="00BA7162"/>
    <w:rsid w:val="00BB06F4"/>
    <w:rsid w:val="00BB6187"/>
    <w:rsid w:val="00BC0110"/>
    <w:rsid w:val="00BC27E5"/>
    <w:rsid w:val="00BC43DB"/>
    <w:rsid w:val="00BC547F"/>
    <w:rsid w:val="00BC57CD"/>
    <w:rsid w:val="00BC6BD3"/>
    <w:rsid w:val="00BC797B"/>
    <w:rsid w:val="00BC7CB3"/>
    <w:rsid w:val="00BD3396"/>
    <w:rsid w:val="00BD574C"/>
    <w:rsid w:val="00BD7BD2"/>
    <w:rsid w:val="00BE1FA1"/>
    <w:rsid w:val="00BF2935"/>
    <w:rsid w:val="00BF37F4"/>
    <w:rsid w:val="00BF5C33"/>
    <w:rsid w:val="00BF7DA1"/>
    <w:rsid w:val="00C0023E"/>
    <w:rsid w:val="00C0216D"/>
    <w:rsid w:val="00C02363"/>
    <w:rsid w:val="00C05130"/>
    <w:rsid w:val="00C07F8F"/>
    <w:rsid w:val="00C11709"/>
    <w:rsid w:val="00C13A76"/>
    <w:rsid w:val="00C14707"/>
    <w:rsid w:val="00C16079"/>
    <w:rsid w:val="00C22131"/>
    <w:rsid w:val="00C25056"/>
    <w:rsid w:val="00C25495"/>
    <w:rsid w:val="00C27E48"/>
    <w:rsid w:val="00C31390"/>
    <w:rsid w:val="00C32372"/>
    <w:rsid w:val="00C323F5"/>
    <w:rsid w:val="00C335BE"/>
    <w:rsid w:val="00C33871"/>
    <w:rsid w:val="00C33B90"/>
    <w:rsid w:val="00C33DEA"/>
    <w:rsid w:val="00C35010"/>
    <w:rsid w:val="00C36252"/>
    <w:rsid w:val="00C3701C"/>
    <w:rsid w:val="00C403D2"/>
    <w:rsid w:val="00C42D46"/>
    <w:rsid w:val="00C432DA"/>
    <w:rsid w:val="00C4477F"/>
    <w:rsid w:val="00C46A26"/>
    <w:rsid w:val="00C47105"/>
    <w:rsid w:val="00C4714C"/>
    <w:rsid w:val="00C50A22"/>
    <w:rsid w:val="00C514CD"/>
    <w:rsid w:val="00C555AB"/>
    <w:rsid w:val="00C56047"/>
    <w:rsid w:val="00C60E2E"/>
    <w:rsid w:val="00C614CF"/>
    <w:rsid w:val="00C62148"/>
    <w:rsid w:val="00C6265E"/>
    <w:rsid w:val="00C6340B"/>
    <w:rsid w:val="00C6619F"/>
    <w:rsid w:val="00C664D0"/>
    <w:rsid w:val="00C66730"/>
    <w:rsid w:val="00C72BEA"/>
    <w:rsid w:val="00C75741"/>
    <w:rsid w:val="00C812DE"/>
    <w:rsid w:val="00C82CA3"/>
    <w:rsid w:val="00C842CE"/>
    <w:rsid w:val="00C84C29"/>
    <w:rsid w:val="00C84C7F"/>
    <w:rsid w:val="00C84DCE"/>
    <w:rsid w:val="00C858AA"/>
    <w:rsid w:val="00C85CDE"/>
    <w:rsid w:val="00C93CFA"/>
    <w:rsid w:val="00C94227"/>
    <w:rsid w:val="00C94A58"/>
    <w:rsid w:val="00C95BF6"/>
    <w:rsid w:val="00C9601B"/>
    <w:rsid w:val="00CA1380"/>
    <w:rsid w:val="00CA1BE5"/>
    <w:rsid w:val="00CA30E3"/>
    <w:rsid w:val="00CA3155"/>
    <w:rsid w:val="00CA4A1E"/>
    <w:rsid w:val="00CA764A"/>
    <w:rsid w:val="00CB068D"/>
    <w:rsid w:val="00CB1E2F"/>
    <w:rsid w:val="00CB3752"/>
    <w:rsid w:val="00CB3F67"/>
    <w:rsid w:val="00CC04E7"/>
    <w:rsid w:val="00CC0734"/>
    <w:rsid w:val="00CC2D92"/>
    <w:rsid w:val="00CC6A5A"/>
    <w:rsid w:val="00CC7B19"/>
    <w:rsid w:val="00CD01EB"/>
    <w:rsid w:val="00CD1EAF"/>
    <w:rsid w:val="00CD2F7F"/>
    <w:rsid w:val="00CD5508"/>
    <w:rsid w:val="00CD57CD"/>
    <w:rsid w:val="00CD62FB"/>
    <w:rsid w:val="00CD6B8C"/>
    <w:rsid w:val="00CE58C4"/>
    <w:rsid w:val="00CE5D83"/>
    <w:rsid w:val="00CE77BE"/>
    <w:rsid w:val="00CE7C10"/>
    <w:rsid w:val="00CF1D05"/>
    <w:rsid w:val="00CF4F29"/>
    <w:rsid w:val="00CF5649"/>
    <w:rsid w:val="00CF6286"/>
    <w:rsid w:val="00CF6D77"/>
    <w:rsid w:val="00D03E02"/>
    <w:rsid w:val="00D05DC6"/>
    <w:rsid w:val="00D078BE"/>
    <w:rsid w:val="00D13016"/>
    <w:rsid w:val="00D13C3D"/>
    <w:rsid w:val="00D200BF"/>
    <w:rsid w:val="00D225AD"/>
    <w:rsid w:val="00D23740"/>
    <w:rsid w:val="00D25C58"/>
    <w:rsid w:val="00D344B9"/>
    <w:rsid w:val="00D35A26"/>
    <w:rsid w:val="00D37C19"/>
    <w:rsid w:val="00D416E2"/>
    <w:rsid w:val="00D41755"/>
    <w:rsid w:val="00D421B6"/>
    <w:rsid w:val="00D44152"/>
    <w:rsid w:val="00D449EC"/>
    <w:rsid w:val="00D51175"/>
    <w:rsid w:val="00D52162"/>
    <w:rsid w:val="00D53B61"/>
    <w:rsid w:val="00D53D74"/>
    <w:rsid w:val="00D54F7A"/>
    <w:rsid w:val="00D60EC0"/>
    <w:rsid w:val="00D61D97"/>
    <w:rsid w:val="00D63F5D"/>
    <w:rsid w:val="00D655C0"/>
    <w:rsid w:val="00D66189"/>
    <w:rsid w:val="00D66C29"/>
    <w:rsid w:val="00D70A97"/>
    <w:rsid w:val="00D712BD"/>
    <w:rsid w:val="00D7311C"/>
    <w:rsid w:val="00D738FF"/>
    <w:rsid w:val="00D741F4"/>
    <w:rsid w:val="00D76BE4"/>
    <w:rsid w:val="00D76BF8"/>
    <w:rsid w:val="00D805C9"/>
    <w:rsid w:val="00D81203"/>
    <w:rsid w:val="00D81DC0"/>
    <w:rsid w:val="00D82469"/>
    <w:rsid w:val="00D82DD4"/>
    <w:rsid w:val="00D8443F"/>
    <w:rsid w:val="00D845FA"/>
    <w:rsid w:val="00D84783"/>
    <w:rsid w:val="00D87850"/>
    <w:rsid w:val="00D905C0"/>
    <w:rsid w:val="00D90D32"/>
    <w:rsid w:val="00D92571"/>
    <w:rsid w:val="00D943A8"/>
    <w:rsid w:val="00D961B7"/>
    <w:rsid w:val="00D965DF"/>
    <w:rsid w:val="00D96967"/>
    <w:rsid w:val="00DA1F6E"/>
    <w:rsid w:val="00DA33B7"/>
    <w:rsid w:val="00DA4D58"/>
    <w:rsid w:val="00DA4F85"/>
    <w:rsid w:val="00DB18D2"/>
    <w:rsid w:val="00DB1AF3"/>
    <w:rsid w:val="00DB38F7"/>
    <w:rsid w:val="00DB44E0"/>
    <w:rsid w:val="00DB7E97"/>
    <w:rsid w:val="00DC19D7"/>
    <w:rsid w:val="00DC3205"/>
    <w:rsid w:val="00DC64D6"/>
    <w:rsid w:val="00DD03C0"/>
    <w:rsid w:val="00DD28B4"/>
    <w:rsid w:val="00DD3DF1"/>
    <w:rsid w:val="00DD4F52"/>
    <w:rsid w:val="00DE0D8A"/>
    <w:rsid w:val="00DE2A87"/>
    <w:rsid w:val="00DE3E83"/>
    <w:rsid w:val="00DE3FFB"/>
    <w:rsid w:val="00DE403A"/>
    <w:rsid w:val="00DE4A3C"/>
    <w:rsid w:val="00DE6A46"/>
    <w:rsid w:val="00DE7C0E"/>
    <w:rsid w:val="00DF056C"/>
    <w:rsid w:val="00DF569F"/>
    <w:rsid w:val="00DF65C6"/>
    <w:rsid w:val="00DF77C2"/>
    <w:rsid w:val="00DF7814"/>
    <w:rsid w:val="00E009EB"/>
    <w:rsid w:val="00E0292C"/>
    <w:rsid w:val="00E02A61"/>
    <w:rsid w:val="00E04C74"/>
    <w:rsid w:val="00E05BFF"/>
    <w:rsid w:val="00E069B4"/>
    <w:rsid w:val="00E07F7C"/>
    <w:rsid w:val="00E10C53"/>
    <w:rsid w:val="00E14874"/>
    <w:rsid w:val="00E23E0D"/>
    <w:rsid w:val="00E24C74"/>
    <w:rsid w:val="00E24D95"/>
    <w:rsid w:val="00E26390"/>
    <w:rsid w:val="00E26DC8"/>
    <w:rsid w:val="00E275B1"/>
    <w:rsid w:val="00E3080A"/>
    <w:rsid w:val="00E30F27"/>
    <w:rsid w:val="00E31D5D"/>
    <w:rsid w:val="00E32800"/>
    <w:rsid w:val="00E3311A"/>
    <w:rsid w:val="00E338B6"/>
    <w:rsid w:val="00E33EFE"/>
    <w:rsid w:val="00E342F7"/>
    <w:rsid w:val="00E34C6C"/>
    <w:rsid w:val="00E351AA"/>
    <w:rsid w:val="00E351BF"/>
    <w:rsid w:val="00E3703C"/>
    <w:rsid w:val="00E37F16"/>
    <w:rsid w:val="00E40DDC"/>
    <w:rsid w:val="00E426A6"/>
    <w:rsid w:val="00E44910"/>
    <w:rsid w:val="00E47B34"/>
    <w:rsid w:val="00E57862"/>
    <w:rsid w:val="00E57D08"/>
    <w:rsid w:val="00E621A3"/>
    <w:rsid w:val="00E63856"/>
    <w:rsid w:val="00E656F5"/>
    <w:rsid w:val="00E7202D"/>
    <w:rsid w:val="00E810E5"/>
    <w:rsid w:val="00E81899"/>
    <w:rsid w:val="00E84197"/>
    <w:rsid w:val="00E85364"/>
    <w:rsid w:val="00E86F48"/>
    <w:rsid w:val="00E91AA9"/>
    <w:rsid w:val="00E93AB0"/>
    <w:rsid w:val="00E94501"/>
    <w:rsid w:val="00E94533"/>
    <w:rsid w:val="00E95928"/>
    <w:rsid w:val="00E971E2"/>
    <w:rsid w:val="00EA05E0"/>
    <w:rsid w:val="00EA0929"/>
    <w:rsid w:val="00EA13AE"/>
    <w:rsid w:val="00EA13CB"/>
    <w:rsid w:val="00EA2332"/>
    <w:rsid w:val="00EA530C"/>
    <w:rsid w:val="00EA70EE"/>
    <w:rsid w:val="00EA7B67"/>
    <w:rsid w:val="00EB099E"/>
    <w:rsid w:val="00EB3CC7"/>
    <w:rsid w:val="00EB6925"/>
    <w:rsid w:val="00EC0309"/>
    <w:rsid w:val="00EC074A"/>
    <w:rsid w:val="00EC1874"/>
    <w:rsid w:val="00EC3C4F"/>
    <w:rsid w:val="00EC4390"/>
    <w:rsid w:val="00EC541D"/>
    <w:rsid w:val="00EC65F1"/>
    <w:rsid w:val="00EC769C"/>
    <w:rsid w:val="00ED18EA"/>
    <w:rsid w:val="00ED21A0"/>
    <w:rsid w:val="00ED70C0"/>
    <w:rsid w:val="00EE6FF2"/>
    <w:rsid w:val="00EF050D"/>
    <w:rsid w:val="00EF300A"/>
    <w:rsid w:val="00EF3177"/>
    <w:rsid w:val="00EF4343"/>
    <w:rsid w:val="00F012DF"/>
    <w:rsid w:val="00F0339C"/>
    <w:rsid w:val="00F0797F"/>
    <w:rsid w:val="00F11A71"/>
    <w:rsid w:val="00F12203"/>
    <w:rsid w:val="00F1339D"/>
    <w:rsid w:val="00F13B2E"/>
    <w:rsid w:val="00F14B81"/>
    <w:rsid w:val="00F1506B"/>
    <w:rsid w:val="00F170AE"/>
    <w:rsid w:val="00F173AE"/>
    <w:rsid w:val="00F17CDF"/>
    <w:rsid w:val="00F207F7"/>
    <w:rsid w:val="00F20A8C"/>
    <w:rsid w:val="00F230C7"/>
    <w:rsid w:val="00F23923"/>
    <w:rsid w:val="00F23BD6"/>
    <w:rsid w:val="00F24FD6"/>
    <w:rsid w:val="00F27AC2"/>
    <w:rsid w:val="00F3504E"/>
    <w:rsid w:val="00F364E8"/>
    <w:rsid w:val="00F367FB"/>
    <w:rsid w:val="00F36E6A"/>
    <w:rsid w:val="00F372F6"/>
    <w:rsid w:val="00F40F2B"/>
    <w:rsid w:val="00F4384B"/>
    <w:rsid w:val="00F43C6C"/>
    <w:rsid w:val="00F448C6"/>
    <w:rsid w:val="00F476CE"/>
    <w:rsid w:val="00F52A99"/>
    <w:rsid w:val="00F573AA"/>
    <w:rsid w:val="00F57F12"/>
    <w:rsid w:val="00F612D1"/>
    <w:rsid w:val="00F61498"/>
    <w:rsid w:val="00F614AA"/>
    <w:rsid w:val="00F66AB8"/>
    <w:rsid w:val="00F71D12"/>
    <w:rsid w:val="00F73924"/>
    <w:rsid w:val="00F76610"/>
    <w:rsid w:val="00F77BC6"/>
    <w:rsid w:val="00F808AD"/>
    <w:rsid w:val="00F80DE9"/>
    <w:rsid w:val="00F82F5A"/>
    <w:rsid w:val="00F8446A"/>
    <w:rsid w:val="00F862FA"/>
    <w:rsid w:val="00F90D6D"/>
    <w:rsid w:val="00F92C7D"/>
    <w:rsid w:val="00F95746"/>
    <w:rsid w:val="00F96563"/>
    <w:rsid w:val="00FA1B08"/>
    <w:rsid w:val="00FA3666"/>
    <w:rsid w:val="00FA39AC"/>
    <w:rsid w:val="00FA5CAB"/>
    <w:rsid w:val="00FB0618"/>
    <w:rsid w:val="00FB7F10"/>
    <w:rsid w:val="00FC0D22"/>
    <w:rsid w:val="00FC0D3C"/>
    <w:rsid w:val="00FC17C0"/>
    <w:rsid w:val="00FC3036"/>
    <w:rsid w:val="00FC4718"/>
    <w:rsid w:val="00FC4F4D"/>
    <w:rsid w:val="00FD0751"/>
    <w:rsid w:val="00FD16C9"/>
    <w:rsid w:val="00FE3FB2"/>
    <w:rsid w:val="00FE7AE6"/>
    <w:rsid w:val="00FF14F3"/>
    <w:rsid w:val="00FF3581"/>
    <w:rsid w:val="00FF3CB1"/>
    <w:rsid w:val="00FF49F1"/>
    <w:rsid w:val="00FF6BD0"/>
    <w:rsid w:val="01121891"/>
    <w:rsid w:val="01695955"/>
    <w:rsid w:val="017B5688"/>
    <w:rsid w:val="01981D96"/>
    <w:rsid w:val="01B36BD0"/>
    <w:rsid w:val="01E74ACC"/>
    <w:rsid w:val="020C62E0"/>
    <w:rsid w:val="02203B3A"/>
    <w:rsid w:val="025A704C"/>
    <w:rsid w:val="025D4D8E"/>
    <w:rsid w:val="027619AC"/>
    <w:rsid w:val="028916DF"/>
    <w:rsid w:val="02963DFC"/>
    <w:rsid w:val="02A76009"/>
    <w:rsid w:val="02B03562"/>
    <w:rsid w:val="02EB05EB"/>
    <w:rsid w:val="03483348"/>
    <w:rsid w:val="03577A2F"/>
    <w:rsid w:val="03863E70"/>
    <w:rsid w:val="038F0F77"/>
    <w:rsid w:val="03942A31"/>
    <w:rsid w:val="03960557"/>
    <w:rsid w:val="03A8028B"/>
    <w:rsid w:val="03BD5AE4"/>
    <w:rsid w:val="03E272F9"/>
    <w:rsid w:val="03EF5BCA"/>
    <w:rsid w:val="040A684F"/>
    <w:rsid w:val="04247911"/>
    <w:rsid w:val="0462668B"/>
    <w:rsid w:val="046643CE"/>
    <w:rsid w:val="04860FD8"/>
    <w:rsid w:val="049D7555"/>
    <w:rsid w:val="04B14F1D"/>
    <w:rsid w:val="04C2712A"/>
    <w:rsid w:val="04D255BF"/>
    <w:rsid w:val="04D56E5D"/>
    <w:rsid w:val="04FF3EDA"/>
    <w:rsid w:val="050339CA"/>
    <w:rsid w:val="056106F1"/>
    <w:rsid w:val="0596483F"/>
    <w:rsid w:val="05972BB7"/>
    <w:rsid w:val="05AB7BBE"/>
    <w:rsid w:val="05B44CC5"/>
    <w:rsid w:val="05C3315A"/>
    <w:rsid w:val="05E337FC"/>
    <w:rsid w:val="061B2F96"/>
    <w:rsid w:val="064B6477"/>
    <w:rsid w:val="06604E4C"/>
    <w:rsid w:val="069D39AB"/>
    <w:rsid w:val="06A967F3"/>
    <w:rsid w:val="06B036DE"/>
    <w:rsid w:val="06D05B2E"/>
    <w:rsid w:val="06DC324E"/>
    <w:rsid w:val="06F85085"/>
    <w:rsid w:val="0708176C"/>
    <w:rsid w:val="07342561"/>
    <w:rsid w:val="07452D04"/>
    <w:rsid w:val="077E558A"/>
    <w:rsid w:val="07AF4222"/>
    <w:rsid w:val="07BE5FBE"/>
    <w:rsid w:val="07CD6512"/>
    <w:rsid w:val="081642B1"/>
    <w:rsid w:val="082A5712"/>
    <w:rsid w:val="082E5202"/>
    <w:rsid w:val="084D31AF"/>
    <w:rsid w:val="08801D0D"/>
    <w:rsid w:val="08BD20E2"/>
    <w:rsid w:val="08D00067"/>
    <w:rsid w:val="08DF64FD"/>
    <w:rsid w:val="091B505B"/>
    <w:rsid w:val="093F51ED"/>
    <w:rsid w:val="094B3B92"/>
    <w:rsid w:val="0956439C"/>
    <w:rsid w:val="0966767D"/>
    <w:rsid w:val="0A0501E5"/>
    <w:rsid w:val="0A122902"/>
    <w:rsid w:val="0A286239"/>
    <w:rsid w:val="0A2E773B"/>
    <w:rsid w:val="0A3463D4"/>
    <w:rsid w:val="0A4A3E4A"/>
    <w:rsid w:val="0A51342A"/>
    <w:rsid w:val="0ABD0ABF"/>
    <w:rsid w:val="0B372620"/>
    <w:rsid w:val="0B640F3B"/>
    <w:rsid w:val="0B84338B"/>
    <w:rsid w:val="0B977C78"/>
    <w:rsid w:val="0B9F6417"/>
    <w:rsid w:val="0BC32105"/>
    <w:rsid w:val="0BE8391A"/>
    <w:rsid w:val="0C142961"/>
    <w:rsid w:val="0C264442"/>
    <w:rsid w:val="0C272694"/>
    <w:rsid w:val="0C564D28"/>
    <w:rsid w:val="0C747C02"/>
    <w:rsid w:val="0C8F3D96"/>
    <w:rsid w:val="0CC37C9B"/>
    <w:rsid w:val="0CD93263"/>
    <w:rsid w:val="0D374B59"/>
    <w:rsid w:val="0D433970"/>
    <w:rsid w:val="0D6B4803"/>
    <w:rsid w:val="0D904269"/>
    <w:rsid w:val="0D95362E"/>
    <w:rsid w:val="0DB461AA"/>
    <w:rsid w:val="0DB855C0"/>
    <w:rsid w:val="0DC21F49"/>
    <w:rsid w:val="0DFE11D3"/>
    <w:rsid w:val="0E1C5AFD"/>
    <w:rsid w:val="0E286250"/>
    <w:rsid w:val="0E603C3C"/>
    <w:rsid w:val="0ED4462A"/>
    <w:rsid w:val="0EE24651"/>
    <w:rsid w:val="0EED1247"/>
    <w:rsid w:val="0F492922"/>
    <w:rsid w:val="0F4A7D05"/>
    <w:rsid w:val="0F701A68"/>
    <w:rsid w:val="0F7F45C1"/>
    <w:rsid w:val="0FAD1102"/>
    <w:rsid w:val="0FBC7598"/>
    <w:rsid w:val="0FE60171"/>
    <w:rsid w:val="0FF3288D"/>
    <w:rsid w:val="0FFF7631"/>
    <w:rsid w:val="10374E70"/>
    <w:rsid w:val="1068327B"/>
    <w:rsid w:val="10756511"/>
    <w:rsid w:val="10861954"/>
    <w:rsid w:val="109951E3"/>
    <w:rsid w:val="10C60066"/>
    <w:rsid w:val="10D80401"/>
    <w:rsid w:val="10ED552F"/>
    <w:rsid w:val="110A7E8F"/>
    <w:rsid w:val="112E0AB8"/>
    <w:rsid w:val="114C494B"/>
    <w:rsid w:val="114E2471"/>
    <w:rsid w:val="115D7703"/>
    <w:rsid w:val="11816503"/>
    <w:rsid w:val="11926D8D"/>
    <w:rsid w:val="12266F4A"/>
    <w:rsid w:val="12270CBB"/>
    <w:rsid w:val="12527D3F"/>
    <w:rsid w:val="12810624"/>
    <w:rsid w:val="12887C05"/>
    <w:rsid w:val="12C329EB"/>
    <w:rsid w:val="12E27315"/>
    <w:rsid w:val="12F9465F"/>
    <w:rsid w:val="131E0CB3"/>
    <w:rsid w:val="132A0CBC"/>
    <w:rsid w:val="13385187"/>
    <w:rsid w:val="13531FC1"/>
    <w:rsid w:val="13655850"/>
    <w:rsid w:val="137707D4"/>
    <w:rsid w:val="137F578F"/>
    <w:rsid w:val="138A52B7"/>
    <w:rsid w:val="13C07C74"/>
    <w:rsid w:val="13CE5AEB"/>
    <w:rsid w:val="13DA7FEC"/>
    <w:rsid w:val="13DF5603"/>
    <w:rsid w:val="13E1581F"/>
    <w:rsid w:val="14305E5E"/>
    <w:rsid w:val="144B7D94"/>
    <w:rsid w:val="145A41B9"/>
    <w:rsid w:val="14D32994"/>
    <w:rsid w:val="157B75AD"/>
    <w:rsid w:val="15E74E37"/>
    <w:rsid w:val="163A1216"/>
    <w:rsid w:val="163A6938"/>
    <w:rsid w:val="16A91EF8"/>
    <w:rsid w:val="16EB42BE"/>
    <w:rsid w:val="1706559C"/>
    <w:rsid w:val="1715758D"/>
    <w:rsid w:val="171B5478"/>
    <w:rsid w:val="17253C74"/>
    <w:rsid w:val="17276132"/>
    <w:rsid w:val="173F21B4"/>
    <w:rsid w:val="175207E1"/>
    <w:rsid w:val="17773DA4"/>
    <w:rsid w:val="18115FA7"/>
    <w:rsid w:val="182061EA"/>
    <w:rsid w:val="18297794"/>
    <w:rsid w:val="18383533"/>
    <w:rsid w:val="18414ADE"/>
    <w:rsid w:val="185D743E"/>
    <w:rsid w:val="187C1BBC"/>
    <w:rsid w:val="18B232E6"/>
    <w:rsid w:val="18BA03EC"/>
    <w:rsid w:val="18E92A80"/>
    <w:rsid w:val="18FF22A3"/>
    <w:rsid w:val="195E6FCA"/>
    <w:rsid w:val="197C636F"/>
    <w:rsid w:val="19B3645C"/>
    <w:rsid w:val="19C21C4E"/>
    <w:rsid w:val="19C239FC"/>
    <w:rsid w:val="19F65454"/>
    <w:rsid w:val="1A051B3B"/>
    <w:rsid w:val="1A085187"/>
    <w:rsid w:val="1A252E71"/>
    <w:rsid w:val="1A2F6C26"/>
    <w:rsid w:val="1A756CC1"/>
    <w:rsid w:val="1ABC50B1"/>
    <w:rsid w:val="1AD11A1D"/>
    <w:rsid w:val="1B50328A"/>
    <w:rsid w:val="1B610FF3"/>
    <w:rsid w:val="1B853D32"/>
    <w:rsid w:val="1B8D1DE8"/>
    <w:rsid w:val="1BA710FC"/>
    <w:rsid w:val="1BB42727"/>
    <w:rsid w:val="1C5B6281"/>
    <w:rsid w:val="1C6A3ED7"/>
    <w:rsid w:val="1C9F0025"/>
    <w:rsid w:val="1C9F1DD3"/>
    <w:rsid w:val="1CF10155"/>
    <w:rsid w:val="1D022362"/>
    <w:rsid w:val="1D2247B2"/>
    <w:rsid w:val="1D3E783E"/>
    <w:rsid w:val="1D484219"/>
    <w:rsid w:val="1D854DA5"/>
    <w:rsid w:val="1D900AFB"/>
    <w:rsid w:val="1D954F84"/>
    <w:rsid w:val="1DA84CB7"/>
    <w:rsid w:val="1DD82FFB"/>
    <w:rsid w:val="1DDF3F11"/>
    <w:rsid w:val="1DEF0B38"/>
    <w:rsid w:val="1E1B36DB"/>
    <w:rsid w:val="1E37603B"/>
    <w:rsid w:val="1E401394"/>
    <w:rsid w:val="1E682698"/>
    <w:rsid w:val="1E74728F"/>
    <w:rsid w:val="1E875215"/>
    <w:rsid w:val="1E8F5E77"/>
    <w:rsid w:val="1ECA6EAF"/>
    <w:rsid w:val="1ED43525"/>
    <w:rsid w:val="1F244811"/>
    <w:rsid w:val="1F282554"/>
    <w:rsid w:val="1F525822"/>
    <w:rsid w:val="1F5C044F"/>
    <w:rsid w:val="1F5F1CED"/>
    <w:rsid w:val="1F731594"/>
    <w:rsid w:val="1F930620"/>
    <w:rsid w:val="1FB913FE"/>
    <w:rsid w:val="1FD77AD6"/>
    <w:rsid w:val="1FEB532F"/>
    <w:rsid w:val="1FF42436"/>
    <w:rsid w:val="200A09E3"/>
    <w:rsid w:val="204B177C"/>
    <w:rsid w:val="204D3C8B"/>
    <w:rsid w:val="207B66B3"/>
    <w:rsid w:val="20B53DA8"/>
    <w:rsid w:val="20C22534"/>
    <w:rsid w:val="20DB35F6"/>
    <w:rsid w:val="20F52CED"/>
    <w:rsid w:val="210743EB"/>
    <w:rsid w:val="215257DC"/>
    <w:rsid w:val="21914E23"/>
    <w:rsid w:val="21972507"/>
    <w:rsid w:val="21C85928"/>
    <w:rsid w:val="21D10F0F"/>
    <w:rsid w:val="21DA1AFF"/>
    <w:rsid w:val="21DB2344"/>
    <w:rsid w:val="21F229A5"/>
    <w:rsid w:val="21F66939"/>
    <w:rsid w:val="21FA5CFD"/>
    <w:rsid w:val="221E7C3E"/>
    <w:rsid w:val="223C1E72"/>
    <w:rsid w:val="227449A1"/>
    <w:rsid w:val="2275519A"/>
    <w:rsid w:val="22AB7B04"/>
    <w:rsid w:val="22B12860"/>
    <w:rsid w:val="22CD6F6E"/>
    <w:rsid w:val="22D8603F"/>
    <w:rsid w:val="22FC4377"/>
    <w:rsid w:val="231177A3"/>
    <w:rsid w:val="23161A85"/>
    <w:rsid w:val="23201794"/>
    <w:rsid w:val="234C001E"/>
    <w:rsid w:val="23641680"/>
    <w:rsid w:val="23810484"/>
    <w:rsid w:val="23871813"/>
    <w:rsid w:val="2389558B"/>
    <w:rsid w:val="239C52BE"/>
    <w:rsid w:val="23B4085A"/>
    <w:rsid w:val="23B720F8"/>
    <w:rsid w:val="23BF71FF"/>
    <w:rsid w:val="23C6058D"/>
    <w:rsid w:val="23DC50FA"/>
    <w:rsid w:val="243C084F"/>
    <w:rsid w:val="2455546D"/>
    <w:rsid w:val="245C67FB"/>
    <w:rsid w:val="247E2C16"/>
    <w:rsid w:val="24A106B2"/>
    <w:rsid w:val="24B77ED6"/>
    <w:rsid w:val="24BD3DEB"/>
    <w:rsid w:val="24D32F62"/>
    <w:rsid w:val="251B66B7"/>
    <w:rsid w:val="25330CEE"/>
    <w:rsid w:val="25396B3D"/>
    <w:rsid w:val="2540611D"/>
    <w:rsid w:val="25754019"/>
    <w:rsid w:val="257F4EED"/>
    <w:rsid w:val="258E5E2C"/>
    <w:rsid w:val="259A5560"/>
    <w:rsid w:val="259F40A6"/>
    <w:rsid w:val="25A57FCF"/>
    <w:rsid w:val="2668592C"/>
    <w:rsid w:val="267047E0"/>
    <w:rsid w:val="26A06E73"/>
    <w:rsid w:val="26D7485F"/>
    <w:rsid w:val="270513CC"/>
    <w:rsid w:val="27165388"/>
    <w:rsid w:val="271D7FA2"/>
    <w:rsid w:val="273B6B9C"/>
    <w:rsid w:val="27545EB0"/>
    <w:rsid w:val="278C73F8"/>
    <w:rsid w:val="27A6670B"/>
    <w:rsid w:val="27BA5D13"/>
    <w:rsid w:val="281C077C"/>
    <w:rsid w:val="28292E99"/>
    <w:rsid w:val="287064F9"/>
    <w:rsid w:val="28715BC9"/>
    <w:rsid w:val="28727A72"/>
    <w:rsid w:val="289406A2"/>
    <w:rsid w:val="289E5635"/>
    <w:rsid w:val="28AE565A"/>
    <w:rsid w:val="28DA4193"/>
    <w:rsid w:val="28EF40E2"/>
    <w:rsid w:val="299F1E59"/>
    <w:rsid w:val="29A3556F"/>
    <w:rsid w:val="2A086191"/>
    <w:rsid w:val="2A1D07DB"/>
    <w:rsid w:val="2A4C2E6E"/>
    <w:rsid w:val="2A510485"/>
    <w:rsid w:val="2A612DBE"/>
    <w:rsid w:val="2A6C51C3"/>
    <w:rsid w:val="2A7C3754"/>
    <w:rsid w:val="2AD21DE5"/>
    <w:rsid w:val="2B073965"/>
    <w:rsid w:val="2B253DEB"/>
    <w:rsid w:val="2B275DB5"/>
    <w:rsid w:val="2B77216D"/>
    <w:rsid w:val="2BA50A88"/>
    <w:rsid w:val="2BA62AF5"/>
    <w:rsid w:val="2C0003B4"/>
    <w:rsid w:val="2C1005F7"/>
    <w:rsid w:val="2C12625F"/>
    <w:rsid w:val="2C2B5431"/>
    <w:rsid w:val="2C2C2F57"/>
    <w:rsid w:val="2C9F197B"/>
    <w:rsid w:val="2CAF71DE"/>
    <w:rsid w:val="2CB25B52"/>
    <w:rsid w:val="2CC755B5"/>
    <w:rsid w:val="2CD05FD9"/>
    <w:rsid w:val="2CFA3055"/>
    <w:rsid w:val="2D0A14EA"/>
    <w:rsid w:val="2D4D13D7"/>
    <w:rsid w:val="2D594220"/>
    <w:rsid w:val="2D621327"/>
    <w:rsid w:val="2D74105A"/>
    <w:rsid w:val="2D83304B"/>
    <w:rsid w:val="2D925252"/>
    <w:rsid w:val="2DEC6E42"/>
    <w:rsid w:val="2DFB52D7"/>
    <w:rsid w:val="2E0979F4"/>
    <w:rsid w:val="2E293BF2"/>
    <w:rsid w:val="2E2D6DDD"/>
    <w:rsid w:val="2E692241"/>
    <w:rsid w:val="2E717347"/>
    <w:rsid w:val="2E864BA1"/>
    <w:rsid w:val="2EA43279"/>
    <w:rsid w:val="2EA74B17"/>
    <w:rsid w:val="2EB57234"/>
    <w:rsid w:val="2EF266DA"/>
    <w:rsid w:val="2EFF324B"/>
    <w:rsid w:val="2EFF4953"/>
    <w:rsid w:val="2F2B399A"/>
    <w:rsid w:val="2F560A17"/>
    <w:rsid w:val="2F682229"/>
    <w:rsid w:val="2F6F7D2B"/>
    <w:rsid w:val="2F8C268B"/>
    <w:rsid w:val="2F91571B"/>
    <w:rsid w:val="2FAD0853"/>
    <w:rsid w:val="30336FAA"/>
    <w:rsid w:val="305111DE"/>
    <w:rsid w:val="30586A11"/>
    <w:rsid w:val="30656A38"/>
    <w:rsid w:val="307373A7"/>
    <w:rsid w:val="30C6397A"/>
    <w:rsid w:val="30ED2D50"/>
    <w:rsid w:val="30EE4C7F"/>
    <w:rsid w:val="30F85705"/>
    <w:rsid w:val="316B4522"/>
    <w:rsid w:val="31744942"/>
    <w:rsid w:val="318C4BC4"/>
    <w:rsid w:val="31992E3D"/>
    <w:rsid w:val="31D9148B"/>
    <w:rsid w:val="31FD7870"/>
    <w:rsid w:val="32601BAD"/>
    <w:rsid w:val="32700042"/>
    <w:rsid w:val="327B2543"/>
    <w:rsid w:val="32A41A99"/>
    <w:rsid w:val="32B617CD"/>
    <w:rsid w:val="32D60BB1"/>
    <w:rsid w:val="32E4458C"/>
    <w:rsid w:val="32E4633A"/>
    <w:rsid w:val="32EA3D1C"/>
    <w:rsid w:val="33154745"/>
    <w:rsid w:val="334E5EA9"/>
    <w:rsid w:val="33D12D62"/>
    <w:rsid w:val="33D97E69"/>
    <w:rsid w:val="33F24171"/>
    <w:rsid w:val="33F86541"/>
    <w:rsid w:val="3422536C"/>
    <w:rsid w:val="34945B3E"/>
    <w:rsid w:val="34A915E9"/>
    <w:rsid w:val="34AA5361"/>
    <w:rsid w:val="34C12DD7"/>
    <w:rsid w:val="34D523DE"/>
    <w:rsid w:val="34E02B31"/>
    <w:rsid w:val="34EC7728"/>
    <w:rsid w:val="34F565DC"/>
    <w:rsid w:val="34FE3200"/>
    <w:rsid w:val="351D3D85"/>
    <w:rsid w:val="35267D16"/>
    <w:rsid w:val="35773495"/>
    <w:rsid w:val="35887450"/>
    <w:rsid w:val="35A16764"/>
    <w:rsid w:val="35A3428A"/>
    <w:rsid w:val="35B244CD"/>
    <w:rsid w:val="35BD2339"/>
    <w:rsid w:val="35DC154A"/>
    <w:rsid w:val="35FB2318"/>
    <w:rsid w:val="36056CF3"/>
    <w:rsid w:val="364C66D0"/>
    <w:rsid w:val="366613D9"/>
    <w:rsid w:val="367F8831"/>
    <w:rsid w:val="36835E6A"/>
    <w:rsid w:val="369B7657"/>
    <w:rsid w:val="36B9755C"/>
    <w:rsid w:val="36C1534F"/>
    <w:rsid w:val="36D16BD5"/>
    <w:rsid w:val="36E0150E"/>
    <w:rsid w:val="37145291"/>
    <w:rsid w:val="376C34BF"/>
    <w:rsid w:val="377063EE"/>
    <w:rsid w:val="37732382"/>
    <w:rsid w:val="378D4FF2"/>
    <w:rsid w:val="37B07132"/>
    <w:rsid w:val="37B3277F"/>
    <w:rsid w:val="37C404E8"/>
    <w:rsid w:val="37D20E57"/>
    <w:rsid w:val="37DC7F27"/>
    <w:rsid w:val="37DE1540"/>
    <w:rsid w:val="37DE5A4E"/>
    <w:rsid w:val="3801529B"/>
    <w:rsid w:val="380E7C95"/>
    <w:rsid w:val="38162F8D"/>
    <w:rsid w:val="3845787B"/>
    <w:rsid w:val="386D0B7F"/>
    <w:rsid w:val="386D476C"/>
    <w:rsid w:val="387202A9"/>
    <w:rsid w:val="38795776"/>
    <w:rsid w:val="38A22FF6"/>
    <w:rsid w:val="38AA5930"/>
    <w:rsid w:val="38B13162"/>
    <w:rsid w:val="38B247E4"/>
    <w:rsid w:val="38CE513F"/>
    <w:rsid w:val="38E269C1"/>
    <w:rsid w:val="38E63ECB"/>
    <w:rsid w:val="38E9375F"/>
    <w:rsid w:val="38F1355F"/>
    <w:rsid w:val="393D0552"/>
    <w:rsid w:val="39445D84"/>
    <w:rsid w:val="3967B2BB"/>
    <w:rsid w:val="396E39C4"/>
    <w:rsid w:val="398048E2"/>
    <w:rsid w:val="39902D77"/>
    <w:rsid w:val="39E9692C"/>
    <w:rsid w:val="3A5244D1"/>
    <w:rsid w:val="3A685AA2"/>
    <w:rsid w:val="3A6B10EF"/>
    <w:rsid w:val="3A960861"/>
    <w:rsid w:val="3A9A4124"/>
    <w:rsid w:val="3ABD4AF3"/>
    <w:rsid w:val="3ADE7B13"/>
    <w:rsid w:val="3AF70BD4"/>
    <w:rsid w:val="3B091033"/>
    <w:rsid w:val="3B1D688D"/>
    <w:rsid w:val="3B5E2A01"/>
    <w:rsid w:val="3B6D0F0B"/>
    <w:rsid w:val="3BAC5E63"/>
    <w:rsid w:val="3BC96A15"/>
    <w:rsid w:val="3BFA097C"/>
    <w:rsid w:val="3C4A2E77"/>
    <w:rsid w:val="3C7265BA"/>
    <w:rsid w:val="3C9C5ED7"/>
    <w:rsid w:val="3CAD3C40"/>
    <w:rsid w:val="3CBB45AF"/>
    <w:rsid w:val="3CC23CA1"/>
    <w:rsid w:val="3CD4741F"/>
    <w:rsid w:val="3CE358B4"/>
    <w:rsid w:val="3CE8111C"/>
    <w:rsid w:val="3CF63839"/>
    <w:rsid w:val="3D0A4BEF"/>
    <w:rsid w:val="3D163594"/>
    <w:rsid w:val="3D22018A"/>
    <w:rsid w:val="3D2C2DB7"/>
    <w:rsid w:val="3D8726E3"/>
    <w:rsid w:val="3D956BAE"/>
    <w:rsid w:val="3DB16F47"/>
    <w:rsid w:val="3DC279A1"/>
    <w:rsid w:val="3DE90CA8"/>
    <w:rsid w:val="3E0E4BB3"/>
    <w:rsid w:val="3E2241BA"/>
    <w:rsid w:val="3E500D27"/>
    <w:rsid w:val="3E6F5651"/>
    <w:rsid w:val="3E741D13"/>
    <w:rsid w:val="3ED6747E"/>
    <w:rsid w:val="3EFB0C93"/>
    <w:rsid w:val="3F28637F"/>
    <w:rsid w:val="3F8E1B07"/>
    <w:rsid w:val="3FB13A48"/>
    <w:rsid w:val="3FCF35E7"/>
    <w:rsid w:val="3FFA53EF"/>
    <w:rsid w:val="3FFA7C02"/>
    <w:rsid w:val="401F6CC0"/>
    <w:rsid w:val="408908EE"/>
    <w:rsid w:val="40993C5B"/>
    <w:rsid w:val="40B41679"/>
    <w:rsid w:val="40CE4185"/>
    <w:rsid w:val="41410DFB"/>
    <w:rsid w:val="417B255F"/>
    <w:rsid w:val="419E1DAA"/>
    <w:rsid w:val="41A61DF6"/>
    <w:rsid w:val="41AD023F"/>
    <w:rsid w:val="41B65345"/>
    <w:rsid w:val="41C07F72"/>
    <w:rsid w:val="41D13F2D"/>
    <w:rsid w:val="41E43D07"/>
    <w:rsid w:val="42024A2E"/>
    <w:rsid w:val="42044303"/>
    <w:rsid w:val="42621029"/>
    <w:rsid w:val="42B86984"/>
    <w:rsid w:val="42B86E9B"/>
    <w:rsid w:val="42C121F4"/>
    <w:rsid w:val="42F02AD9"/>
    <w:rsid w:val="42F51E9D"/>
    <w:rsid w:val="43547DFD"/>
    <w:rsid w:val="43917E18"/>
    <w:rsid w:val="43A51B15"/>
    <w:rsid w:val="43E50164"/>
    <w:rsid w:val="44092720"/>
    <w:rsid w:val="442962A2"/>
    <w:rsid w:val="444906F3"/>
    <w:rsid w:val="44A41DCD"/>
    <w:rsid w:val="44A91191"/>
    <w:rsid w:val="44C47D79"/>
    <w:rsid w:val="44F00B6E"/>
    <w:rsid w:val="44FD328B"/>
    <w:rsid w:val="45062140"/>
    <w:rsid w:val="452627E2"/>
    <w:rsid w:val="45455EF7"/>
    <w:rsid w:val="45494BDC"/>
    <w:rsid w:val="45795008"/>
    <w:rsid w:val="458531BD"/>
    <w:rsid w:val="4598485E"/>
    <w:rsid w:val="459C0CF6"/>
    <w:rsid w:val="45B71870"/>
    <w:rsid w:val="45DA7056"/>
    <w:rsid w:val="45E31971"/>
    <w:rsid w:val="46433098"/>
    <w:rsid w:val="46496ED5"/>
    <w:rsid w:val="4654337F"/>
    <w:rsid w:val="465B64BB"/>
    <w:rsid w:val="468477C0"/>
    <w:rsid w:val="46C44060"/>
    <w:rsid w:val="46E91D19"/>
    <w:rsid w:val="46F25071"/>
    <w:rsid w:val="47064679"/>
    <w:rsid w:val="47064A15"/>
    <w:rsid w:val="47146770"/>
    <w:rsid w:val="472553A3"/>
    <w:rsid w:val="474F6736"/>
    <w:rsid w:val="476F0BC1"/>
    <w:rsid w:val="477B2188"/>
    <w:rsid w:val="477C2B8D"/>
    <w:rsid w:val="47A83982"/>
    <w:rsid w:val="47AC3472"/>
    <w:rsid w:val="47BA1F3A"/>
    <w:rsid w:val="47E36768"/>
    <w:rsid w:val="48233009"/>
    <w:rsid w:val="48276F9D"/>
    <w:rsid w:val="483462A5"/>
    <w:rsid w:val="48842C88"/>
    <w:rsid w:val="48A8612B"/>
    <w:rsid w:val="48B63E7D"/>
    <w:rsid w:val="48BA1BBF"/>
    <w:rsid w:val="48C52312"/>
    <w:rsid w:val="48E629B4"/>
    <w:rsid w:val="48E94252"/>
    <w:rsid w:val="49155047"/>
    <w:rsid w:val="4922188C"/>
    <w:rsid w:val="49441489"/>
    <w:rsid w:val="495024F9"/>
    <w:rsid w:val="495C2C76"/>
    <w:rsid w:val="495F460D"/>
    <w:rsid w:val="497A7A3E"/>
    <w:rsid w:val="497E0E3E"/>
    <w:rsid w:val="49BA174B"/>
    <w:rsid w:val="49E728CF"/>
    <w:rsid w:val="49F70BF1"/>
    <w:rsid w:val="4A392FB7"/>
    <w:rsid w:val="4A3C7E3F"/>
    <w:rsid w:val="4A443E36"/>
    <w:rsid w:val="4A5F46F8"/>
    <w:rsid w:val="4A78588E"/>
    <w:rsid w:val="4B320132"/>
    <w:rsid w:val="4B3317B5"/>
    <w:rsid w:val="4B3532AF"/>
    <w:rsid w:val="4B8443DE"/>
    <w:rsid w:val="4BCF3BD3"/>
    <w:rsid w:val="4C0849EF"/>
    <w:rsid w:val="4C15710C"/>
    <w:rsid w:val="4C5B5467"/>
    <w:rsid w:val="4CBA5FC9"/>
    <w:rsid w:val="4CBB4158"/>
    <w:rsid w:val="4CC0176E"/>
    <w:rsid w:val="4CCF550D"/>
    <w:rsid w:val="4CDF7E46"/>
    <w:rsid w:val="4CEA3B72"/>
    <w:rsid w:val="4CF338F1"/>
    <w:rsid w:val="4D2E2B7B"/>
    <w:rsid w:val="4D537EEC"/>
    <w:rsid w:val="4D573E80"/>
    <w:rsid w:val="4D7D31BB"/>
    <w:rsid w:val="4D865F70"/>
    <w:rsid w:val="4D897DB2"/>
    <w:rsid w:val="4DAC20D0"/>
    <w:rsid w:val="4DC4528E"/>
    <w:rsid w:val="4DC82688"/>
    <w:rsid w:val="4DCF7EBB"/>
    <w:rsid w:val="4DF06083"/>
    <w:rsid w:val="4DFE254E"/>
    <w:rsid w:val="4E320449"/>
    <w:rsid w:val="4E437F61"/>
    <w:rsid w:val="4E597982"/>
    <w:rsid w:val="4E712D20"/>
    <w:rsid w:val="4E8B2815"/>
    <w:rsid w:val="4E95113A"/>
    <w:rsid w:val="4E9B1B4B"/>
    <w:rsid w:val="4EB26E94"/>
    <w:rsid w:val="4F0E4A13"/>
    <w:rsid w:val="4F440434"/>
    <w:rsid w:val="4F4E3061"/>
    <w:rsid w:val="4F604B42"/>
    <w:rsid w:val="4F781E8C"/>
    <w:rsid w:val="4FCE7CFE"/>
    <w:rsid w:val="4FF9E028"/>
    <w:rsid w:val="4FFF6109"/>
    <w:rsid w:val="506E39FE"/>
    <w:rsid w:val="509C604E"/>
    <w:rsid w:val="50BE5FC4"/>
    <w:rsid w:val="50C35389"/>
    <w:rsid w:val="50F413DD"/>
    <w:rsid w:val="51086CC9"/>
    <w:rsid w:val="51193B9B"/>
    <w:rsid w:val="51357C48"/>
    <w:rsid w:val="51747011"/>
    <w:rsid w:val="51840FBC"/>
    <w:rsid w:val="51973257"/>
    <w:rsid w:val="51EE0B2B"/>
    <w:rsid w:val="51FE083C"/>
    <w:rsid w:val="5201260D"/>
    <w:rsid w:val="52021EE1"/>
    <w:rsid w:val="521A722A"/>
    <w:rsid w:val="52316BE6"/>
    <w:rsid w:val="527728CF"/>
    <w:rsid w:val="529E60AD"/>
    <w:rsid w:val="529F34EC"/>
    <w:rsid w:val="52AF02BB"/>
    <w:rsid w:val="52B458D1"/>
    <w:rsid w:val="52CA0C50"/>
    <w:rsid w:val="52CA3C9C"/>
    <w:rsid w:val="52D70D41"/>
    <w:rsid w:val="52DD4E28"/>
    <w:rsid w:val="52E066C6"/>
    <w:rsid w:val="52E77A54"/>
    <w:rsid w:val="52F91536"/>
    <w:rsid w:val="534A3B3F"/>
    <w:rsid w:val="537D6E41"/>
    <w:rsid w:val="538737AB"/>
    <w:rsid w:val="53AB07B8"/>
    <w:rsid w:val="53CF08F5"/>
    <w:rsid w:val="53DB6E8D"/>
    <w:rsid w:val="53E421E6"/>
    <w:rsid w:val="53F3C75C"/>
    <w:rsid w:val="53FB1CCE"/>
    <w:rsid w:val="5422686A"/>
    <w:rsid w:val="546B0211"/>
    <w:rsid w:val="549459BA"/>
    <w:rsid w:val="54AD23F5"/>
    <w:rsid w:val="54BF40B9"/>
    <w:rsid w:val="54CA13DC"/>
    <w:rsid w:val="54E63D3C"/>
    <w:rsid w:val="54E86E55"/>
    <w:rsid w:val="54FB7B6A"/>
    <w:rsid w:val="552C5BF2"/>
    <w:rsid w:val="554F18E1"/>
    <w:rsid w:val="55641BC1"/>
    <w:rsid w:val="5579070C"/>
    <w:rsid w:val="557E424F"/>
    <w:rsid w:val="55821CB6"/>
    <w:rsid w:val="559317CE"/>
    <w:rsid w:val="55986DE4"/>
    <w:rsid w:val="55C302C1"/>
    <w:rsid w:val="55CA71B9"/>
    <w:rsid w:val="55F339EF"/>
    <w:rsid w:val="56334D5F"/>
    <w:rsid w:val="564A5AA2"/>
    <w:rsid w:val="56B7174F"/>
    <w:rsid w:val="572D7A00"/>
    <w:rsid w:val="57684BF4"/>
    <w:rsid w:val="57A75A04"/>
    <w:rsid w:val="58074DA0"/>
    <w:rsid w:val="58163A93"/>
    <w:rsid w:val="582708F3"/>
    <w:rsid w:val="58276B45"/>
    <w:rsid w:val="583B7EFB"/>
    <w:rsid w:val="58AC2BA6"/>
    <w:rsid w:val="58C61EBA"/>
    <w:rsid w:val="58D345D7"/>
    <w:rsid w:val="58F307D5"/>
    <w:rsid w:val="58F5275D"/>
    <w:rsid w:val="591C0DC3"/>
    <w:rsid w:val="59575208"/>
    <w:rsid w:val="59594ADC"/>
    <w:rsid w:val="596536E5"/>
    <w:rsid w:val="598853C1"/>
    <w:rsid w:val="5A0A4028"/>
    <w:rsid w:val="5A1804F3"/>
    <w:rsid w:val="5A1F7AD4"/>
    <w:rsid w:val="5A331E7A"/>
    <w:rsid w:val="5A366BCB"/>
    <w:rsid w:val="5A4A08C9"/>
    <w:rsid w:val="5A5C0D28"/>
    <w:rsid w:val="5AAE2C06"/>
    <w:rsid w:val="5AB50438"/>
    <w:rsid w:val="5AB70B64"/>
    <w:rsid w:val="5AE20B01"/>
    <w:rsid w:val="5AFC7E15"/>
    <w:rsid w:val="5B056DDE"/>
    <w:rsid w:val="5B3752F1"/>
    <w:rsid w:val="5B767C9D"/>
    <w:rsid w:val="5B8D6CBF"/>
    <w:rsid w:val="5B8F2A37"/>
    <w:rsid w:val="5BE2022E"/>
    <w:rsid w:val="5BFBD67D"/>
    <w:rsid w:val="5C076A71"/>
    <w:rsid w:val="5C186ED1"/>
    <w:rsid w:val="5C272C70"/>
    <w:rsid w:val="5C58551F"/>
    <w:rsid w:val="5C5E2758"/>
    <w:rsid w:val="5CAC71FB"/>
    <w:rsid w:val="5CB14C2F"/>
    <w:rsid w:val="5CB23E22"/>
    <w:rsid w:val="5CDD3C76"/>
    <w:rsid w:val="5D066D29"/>
    <w:rsid w:val="5D3543FB"/>
    <w:rsid w:val="5D41020E"/>
    <w:rsid w:val="5D535CE6"/>
    <w:rsid w:val="5D7719D5"/>
    <w:rsid w:val="5D8B36D2"/>
    <w:rsid w:val="5DF150F4"/>
    <w:rsid w:val="5E283F46"/>
    <w:rsid w:val="5E540FCF"/>
    <w:rsid w:val="5E5E2B95"/>
    <w:rsid w:val="5E7E0C7E"/>
    <w:rsid w:val="5ED47CEF"/>
    <w:rsid w:val="5ED66BCF"/>
    <w:rsid w:val="5EFE3F41"/>
    <w:rsid w:val="5F025C16"/>
    <w:rsid w:val="5F090D52"/>
    <w:rsid w:val="5F64678F"/>
    <w:rsid w:val="5F6B5569"/>
    <w:rsid w:val="5F73441E"/>
    <w:rsid w:val="5F750196"/>
    <w:rsid w:val="5F893C41"/>
    <w:rsid w:val="5FD21144"/>
    <w:rsid w:val="5FDC772C"/>
    <w:rsid w:val="5FEC6BD7"/>
    <w:rsid w:val="5FFD5A67"/>
    <w:rsid w:val="60483AFC"/>
    <w:rsid w:val="606F72DB"/>
    <w:rsid w:val="608763D3"/>
    <w:rsid w:val="60CC4EDB"/>
    <w:rsid w:val="60CE4002"/>
    <w:rsid w:val="60E70C20"/>
    <w:rsid w:val="60FB291D"/>
    <w:rsid w:val="61045C75"/>
    <w:rsid w:val="61271964"/>
    <w:rsid w:val="612E1517"/>
    <w:rsid w:val="61306A6A"/>
    <w:rsid w:val="615269E1"/>
    <w:rsid w:val="61776447"/>
    <w:rsid w:val="619F599E"/>
    <w:rsid w:val="61B56F70"/>
    <w:rsid w:val="61EE5FDE"/>
    <w:rsid w:val="61F96E5C"/>
    <w:rsid w:val="620D2A55"/>
    <w:rsid w:val="622277A9"/>
    <w:rsid w:val="625C5EA4"/>
    <w:rsid w:val="62832BCA"/>
    <w:rsid w:val="62FB30A8"/>
    <w:rsid w:val="635051A2"/>
    <w:rsid w:val="63D473C5"/>
    <w:rsid w:val="63D5610E"/>
    <w:rsid w:val="63DC38E5"/>
    <w:rsid w:val="63E47698"/>
    <w:rsid w:val="640C2638"/>
    <w:rsid w:val="644B5969"/>
    <w:rsid w:val="644E0172"/>
    <w:rsid w:val="6454481E"/>
    <w:rsid w:val="64803865"/>
    <w:rsid w:val="6486074F"/>
    <w:rsid w:val="64BB664B"/>
    <w:rsid w:val="64CB7B8C"/>
    <w:rsid w:val="64E17A55"/>
    <w:rsid w:val="655645C6"/>
    <w:rsid w:val="657333CA"/>
    <w:rsid w:val="65876E75"/>
    <w:rsid w:val="659D21F5"/>
    <w:rsid w:val="659F41BF"/>
    <w:rsid w:val="65B5753E"/>
    <w:rsid w:val="65C50665"/>
    <w:rsid w:val="660157E8"/>
    <w:rsid w:val="665A4C6F"/>
    <w:rsid w:val="665C20B0"/>
    <w:rsid w:val="66B07D06"/>
    <w:rsid w:val="66B47C99"/>
    <w:rsid w:val="66D460EA"/>
    <w:rsid w:val="66E351E7"/>
    <w:rsid w:val="66F10A4A"/>
    <w:rsid w:val="66FB3482"/>
    <w:rsid w:val="67087B42"/>
    <w:rsid w:val="670E33AA"/>
    <w:rsid w:val="671169F6"/>
    <w:rsid w:val="672579DC"/>
    <w:rsid w:val="6744501E"/>
    <w:rsid w:val="67753429"/>
    <w:rsid w:val="67A91325"/>
    <w:rsid w:val="67C972D1"/>
    <w:rsid w:val="67E10ABE"/>
    <w:rsid w:val="67E1461B"/>
    <w:rsid w:val="67E45EB9"/>
    <w:rsid w:val="67EC2FBF"/>
    <w:rsid w:val="67F23A95"/>
    <w:rsid w:val="67FBA44E"/>
    <w:rsid w:val="680D1C4F"/>
    <w:rsid w:val="682D3D04"/>
    <w:rsid w:val="685F19E3"/>
    <w:rsid w:val="6861575B"/>
    <w:rsid w:val="68996CA3"/>
    <w:rsid w:val="68FD8188"/>
    <w:rsid w:val="68FE74B6"/>
    <w:rsid w:val="690C3919"/>
    <w:rsid w:val="691E364C"/>
    <w:rsid w:val="699E02E9"/>
    <w:rsid w:val="69A51678"/>
    <w:rsid w:val="69A84119"/>
    <w:rsid w:val="69BA5584"/>
    <w:rsid w:val="69BB0E9B"/>
    <w:rsid w:val="69D67433"/>
    <w:rsid w:val="69DD7C3B"/>
    <w:rsid w:val="69E5416A"/>
    <w:rsid w:val="69F543AD"/>
    <w:rsid w:val="6A1B68A2"/>
    <w:rsid w:val="6A5A4B58"/>
    <w:rsid w:val="6A6652AB"/>
    <w:rsid w:val="6A8C4C36"/>
    <w:rsid w:val="6A8E581F"/>
    <w:rsid w:val="6AAB1C27"/>
    <w:rsid w:val="6ACE4BFE"/>
    <w:rsid w:val="6AE663EC"/>
    <w:rsid w:val="6B0F2BA4"/>
    <w:rsid w:val="6B105217"/>
    <w:rsid w:val="6B126E3A"/>
    <w:rsid w:val="6B84121C"/>
    <w:rsid w:val="6BE741CA"/>
    <w:rsid w:val="6BE84EA2"/>
    <w:rsid w:val="6C247DB6"/>
    <w:rsid w:val="6C417D7E"/>
    <w:rsid w:val="6C553829"/>
    <w:rsid w:val="6C660434"/>
    <w:rsid w:val="6C823EF2"/>
    <w:rsid w:val="6C8C6B1F"/>
    <w:rsid w:val="6C9C4FB4"/>
    <w:rsid w:val="6CA56888"/>
    <w:rsid w:val="6CBD4F2A"/>
    <w:rsid w:val="6CF3094C"/>
    <w:rsid w:val="6CFE7A1D"/>
    <w:rsid w:val="6D0669CA"/>
    <w:rsid w:val="6D0914F3"/>
    <w:rsid w:val="6D21684C"/>
    <w:rsid w:val="6D371181"/>
    <w:rsid w:val="6D375D2F"/>
    <w:rsid w:val="6D5D0BE7"/>
    <w:rsid w:val="6D5E495F"/>
    <w:rsid w:val="6D770CAD"/>
    <w:rsid w:val="6D7B72BF"/>
    <w:rsid w:val="6D8E6FF3"/>
    <w:rsid w:val="6DCE3893"/>
    <w:rsid w:val="6DD32C57"/>
    <w:rsid w:val="6E0F17B6"/>
    <w:rsid w:val="6E2C1A26"/>
    <w:rsid w:val="6E3447E3"/>
    <w:rsid w:val="6E557B10"/>
    <w:rsid w:val="6E775CD9"/>
    <w:rsid w:val="6E810905"/>
    <w:rsid w:val="6E8E4DD0"/>
    <w:rsid w:val="6EB32A89"/>
    <w:rsid w:val="6EBF31DC"/>
    <w:rsid w:val="6EC66318"/>
    <w:rsid w:val="6ED30965"/>
    <w:rsid w:val="6ED30A35"/>
    <w:rsid w:val="6EDE7B06"/>
    <w:rsid w:val="6F084B83"/>
    <w:rsid w:val="6F117CE7"/>
    <w:rsid w:val="6F484F7F"/>
    <w:rsid w:val="6F5558EE"/>
    <w:rsid w:val="6F616041"/>
    <w:rsid w:val="6F92269E"/>
    <w:rsid w:val="6F997ED1"/>
    <w:rsid w:val="6FAF14A2"/>
    <w:rsid w:val="6FB50061"/>
    <w:rsid w:val="6FC902EC"/>
    <w:rsid w:val="6FDC1B6B"/>
    <w:rsid w:val="6FE32EFA"/>
    <w:rsid w:val="6FF20E04"/>
    <w:rsid w:val="6FF82C5B"/>
    <w:rsid w:val="70096E04"/>
    <w:rsid w:val="70512255"/>
    <w:rsid w:val="70853FB1"/>
    <w:rsid w:val="710650F2"/>
    <w:rsid w:val="71321543"/>
    <w:rsid w:val="716F713B"/>
    <w:rsid w:val="718A7AD1"/>
    <w:rsid w:val="71BE3C1E"/>
    <w:rsid w:val="71C823A7"/>
    <w:rsid w:val="71C963AB"/>
    <w:rsid w:val="71E573FD"/>
    <w:rsid w:val="72337FF7"/>
    <w:rsid w:val="72345C8F"/>
    <w:rsid w:val="72451C4A"/>
    <w:rsid w:val="725956F5"/>
    <w:rsid w:val="725E2D0C"/>
    <w:rsid w:val="729B6917"/>
    <w:rsid w:val="72D80932"/>
    <w:rsid w:val="72FD2525"/>
    <w:rsid w:val="73117D7E"/>
    <w:rsid w:val="733046A8"/>
    <w:rsid w:val="73C3376E"/>
    <w:rsid w:val="73DE0269"/>
    <w:rsid w:val="73EC4A73"/>
    <w:rsid w:val="742F670E"/>
    <w:rsid w:val="744C3764"/>
    <w:rsid w:val="74964CEE"/>
    <w:rsid w:val="749F7D37"/>
    <w:rsid w:val="74B9247B"/>
    <w:rsid w:val="74DA0D6F"/>
    <w:rsid w:val="74DF7409"/>
    <w:rsid w:val="74E26423"/>
    <w:rsid w:val="74EB4D2A"/>
    <w:rsid w:val="74F3A83C"/>
    <w:rsid w:val="75473464"/>
    <w:rsid w:val="7552498E"/>
    <w:rsid w:val="759A04FF"/>
    <w:rsid w:val="75A66EA3"/>
    <w:rsid w:val="75D237F5"/>
    <w:rsid w:val="75DE663D"/>
    <w:rsid w:val="75F6582F"/>
    <w:rsid w:val="75FB0615"/>
    <w:rsid w:val="76053BCA"/>
    <w:rsid w:val="761E6A3A"/>
    <w:rsid w:val="762A1882"/>
    <w:rsid w:val="7634224D"/>
    <w:rsid w:val="76AE6010"/>
    <w:rsid w:val="76B31878"/>
    <w:rsid w:val="76BF646F"/>
    <w:rsid w:val="76C515AB"/>
    <w:rsid w:val="77075720"/>
    <w:rsid w:val="770E6AAE"/>
    <w:rsid w:val="77343C5C"/>
    <w:rsid w:val="774F73F7"/>
    <w:rsid w:val="775C3CBE"/>
    <w:rsid w:val="77660698"/>
    <w:rsid w:val="77DF02F9"/>
    <w:rsid w:val="77FB1800"/>
    <w:rsid w:val="780103C1"/>
    <w:rsid w:val="780513EC"/>
    <w:rsid w:val="7825692D"/>
    <w:rsid w:val="784334CE"/>
    <w:rsid w:val="78462278"/>
    <w:rsid w:val="78540E39"/>
    <w:rsid w:val="78CA4C57"/>
    <w:rsid w:val="78CF04BF"/>
    <w:rsid w:val="78FB12B4"/>
    <w:rsid w:val="78FC78B1"/>
    <w:rsid w:val="79046E9B"/>
    <w:rsid w:val="791D56CF"/>
    <w:rsid w:val="79591F15"/>
    <w:rsid w:val="796926C2"/>
    <w:rsid w:val="79724C28"/>
    <w:rsid w:val="797A042B"/>
    <w:rsid w:val="79870D9A"/>
    <w:rsid w:val="79A56375"/>
    <w:rsid w:val="79E85CDC"/>
    <w:rsid w:val="79F53F55"/>
    <w:rsid w:val="79FE8994"/>
    <w:rsid w:val="7A24483B"/>
    <w:rsid w:val="7A2938BC"/>
    <w:rsid w:val="7A5E1AFB"/>
    <w:rsid w:val="7A7B26AD"/>
    <w:rsid w:val="7A992B33"/>
    <w:rsid w:val="7ADB139D"/>
    <w:rsid w:val="7AF1431C"/>
    <w:rsid w:val="7B02692A"/>
    <w:rsid w:val="7B0E2DAE"/>
    <w:rsid w:val="7B2745E3"/>
    <w:rsid w:val="7B5B0730"/>
    <w:rsid w:val="7B62386D"/>
    <w:rsid w:val="7B6C0247"/>
    <w:rsid w:val="7B827A6B"/>
    <w:rsid w:val="7B841A35"/>
    <w:rsid w:val="7B8C08E9"/>
    <w:rsid w:val="7B933A26"/>
    <w:rsid w:val="7BBF2D15"/>
    <w:rsid w:val="7BC76DB5"/>
    <w:rsid w:val="7BD55DED"/>
    <w:rsid w:val="7BEE5100"/>
    <w:rsid w:val="7BFB59C6"/>
    <w:rsid w:val="7BFD5343"/>
    <w:rsid w:val="7BFF730D"/>
    <w:rsid w:val="7C043085"/>
    <w:rsid w:val="7C4E0F07"/>
    <w:rsid w:val="7C5E2286"/>
    <w:rsid w:val="7C7C095E"/>
    <w:rsid w:val="7C835849"/>
    <w:rsid w:val="7CAD0B17"/>
    <w:rsid w:val="7CC12815"/>
    <w:rsid w:val="7CC52305"/>
    <w:rsid w:val="7D0D15B6"/>
    <w:rsid w:val="7D35576D"/>
    <w:rsid w:val="7D3F20B7"/>
    <w:rsid w:val="7D545437"/>
    <w:rsid w:val="7D711B45"/>
    <w:rsid w:val="7D733B0F"/>
    <w:rsid w:val="7D823D52"/>
    <w:rsid w:val="7D831878"/>
    <w:rsid w:val="7DA95783"/>
    <w:rsid w:val="7DC73E5B"/>
    <w:rsid w:val="7DD00F61"/>
    <w:rsid w:val="7DD32800"/>
    <w:rsid w:val="7DE20BB3"/>
    <w:rsid w:val="7DFC3D08"/>
    <w:rsid w:val="7E282B4B"/>
    <w:rsid w:val="7E447259"/>
    <w:rsid w:val="7E5F4093"/>
    <w:rsid w:val="7EF50554"/>
    <w:rsid w:val="7EF511DA"/>
    <w:rsid w:val="7F222FA3"/>
    <w:rsid w:val="7F2D7CEE"/>
    <w:rsid w:val="7F498A43"/>
    <w:rsid w:val="7F631961"/>
    <w:rsid w:val="7F64FC1D"/>
    <w:rsid w:val="7F7E6527"/>
    <w:rsid w:val="7F9F6C12"/>
    <w:rsid w:val="7FA36202"/>
    <w:rsid w:val="7FABCF51"/>
    <w:rsid w:val="7FB83A5B"/>
    <w:rsid w:val="7FDC5A21"/>
    <w:rsid w:val="7FF27DF8"/>
    <w:rsid w:val="8FC7A519"/>
    <w:rsid w:val="97FFADC4"/>
    <w:rsid w:val="9DCF6E2B"/>
    <w:rsid w:val="9EBAAC69"/>
    <w:rsid w:val="9EFF0059"/>
    <w:rsid w:val="9FF7E417"/>
    <w:rsid w:val="A795795B"/>
    <w:rsid w:val="AF628BC3"/>
    <w:rsid w:val="B5FF489F"/>
    <w:rsid w:val="B6FFFA96"/>
    <w:rsid w:val="BB6BE86F"/>
    <w:rsid w:val="BCFE1026"/>
    <w:rsid w:val="C77FC7F0"/>
    <w:rsid w:val="CEE3C73E"/>
    <w:rsid w:val="CFFF9B68"/>
    <w:rsid w:val="D1DD121C"/>
    <w:rsid w:val="D7AE7BE7"/>
    <w:rsid w:val="D7FB8CAC"/>
    <w:rsid w:val="DAB697ED"/>
    <w:rsid w:val="DD3F2205"/>
    <w:rsid w:val="DD5F3F42"/>
    <w:rsid w:val="DEFFEFBD"/>
    <w:rsid w:val="DF7D1873"/>
    <w:rsid w:val="DFEE6288"/>
    <w:rsid w:val="DFFF36CC"/>
    <w:rsid w:val="DFFF9E31"/>
    <w:rsid w:val="EBDCC1C7"/>
    <w:rsid w:val="EFBED34E"/>
    <w:rsid w:val="F3BB22EE"/>
    <w:rsid w:val="F5FD19F8"/>
    <w:rsid w:val="F6BA0C29"/>
    <w:rsid w:val="F6FFF4E7"/>
    <w:rsid w:val="F7F44834"/>
    <w:rsid w:val="F9DC2F87"/>
    <w:rsid w:val="FAAF7529"/>
    <w:rsid w:val="FADF2F0B"/>
    <w:rsid w:val="FAFE19C2"/>
    <w:rsid w:val="FDCB38EB"/>
    <w:rsid w:val="FDF3160A"/>
    <w:rsid w:val="FEFA5C14"/>
    <w:rsid w:val="FF6F31B0"/>
    <w:rsid w:val="FF7B2F1F"/>
    <w:rsid w:val="FFF602BE"/>
    <w:rsid w:val="FFFB1112"/>
    <w:rsid w:val="FFFE1D14"/>
    <w:rsid w:val="FFFE1E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autoRedefine/>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autoRedefine/>
    <w:qFormat/>
    <w:uiPriority w:val="0"/>
    <w:pPr>
      <w:keepNext/>
      <w:keepLines/>
      <w:spacing w:before="240" w:after="64" w:line="320" w:lineRule="auto"/>
      <w:outlineLvl w:val="6"/>
    </w:pPr>
    <w:rPr>
      <w:b/>
      <w:bCs/>
      <w:sz w:val="24"/>
    </w:rPr>
  </w:style>
  <w:style w:type="paragraph" w:styleId="9">
    <w:name w:val="heading 8"/>
    <w:basedOn w:val="1"/>
    <w:next w:val="1"/>
    <w:autoRedefine/>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autoRedefine/>
    <w:qFormat/>
    <w:uiPriority w:val="0"/>
    <w:pPr>
      <w:keepNext/>
      <w:keepLines/>
      <w:spacing w:before="240" w:after="64" w:line="320" w:lineRule="auto"/>
      <w:outlineLvl w:val="8"/>
    </w:pPr>
    <w:rPr>
      <w:rFonts w:ascii="Arial" w:hAnsi="Arial" w:eastAsia="黑体"/>
      <w:szCs w:val="21"/>
    </w:rPr>
  </w:style>
  <w:style w:type="character" w:default="1" w:styleId="40">
    <w:name w:val="Default Paragraph Font"/>
    <w:unhideWhenUsed/>
    <w:qFormat/>
    <w:uiPriority w:val="1"/>
  </w:style>
  <w:style w:type="table" w:default="1" w:styleId="3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2"/>
    <w:next w:val="1"/>
    <w:autoRedefine/>
    <w:semiHidden/>
    <w:qFormat/>
    <w:uiPriority w:val="0"/>
  </w:style>
  <w:style w:type="paragraph" w:styleId="12">
    <w:name w:val="toc 6"/>
    <w:basedOn w:val="13"/>
    <w:next w:val="1"/>
    <w:autoRedefine/>
    <w:semiHidden/>
    <w:qFormat/>
    <w:uiPriority w:val="0"/>
  </w:style>
  <w:style w:type="paragraph" w:styleId="13">
    <w:name w:val="toc 5"/>
    <w:basedOn w:val="14"/>
    <w:next w:val="1"/>
    <w:semiHidden/>
    <w:qFormat/>
    <w:uiPriority w:val="0"/>
  </w:style>
  <w:style w:type="paragraph" w:styleId="14">
    <w:name w:val="toc 4"/>
    <w:basedOn w:val="15"/>
    <w:next w:val="1"/>
    <w:autoRedefine/>
    <w:semiHidden/>
    <w:qFormat/>
    <w:uiPriority w:val="0"/>
  </w:style>
  <w:style w:type="paragraph" w:styleId="15">
    <w:name w:val="toc 3"/>
    <w:basedOn w:val="16"/>
    <w:next w:val="1"/>
    <w:autoRedefine/>
    <w:semiHidden/>
    <w:qFormat/>
    <w:uiPriority w:val="0"/>
  </w:style>
  <w:style w:type="paragraph" w:styleId="16">
    <w:name w:val="toc 2"/>
    <w:basedOn w:val="17"/>
    <w:next w:val="1"/>
    <w:autoRedefine/>
    <w:semiHidden/>
    <w:qFormat/>
    <w:uiPriority w:val="0"/>
    <w:pPr>
      <w:ind w:firstLine="400" w:firstLineChars="200"/>
    </w:pPr>
    <w:rPr>
      <w:rFonts w:ascii="宋体" w:hAnsi="宋体" w:eastAsia="宋体"/>
    </w:rPr>
  </w:style>
  <w:style w:type="paragraph" w:styleId="17">
    <w:name w:val="toc 1"/>
    <w:next w:val="1"/>
    <w:autoRedefine/>
    <w:semiHidden/>
    <w:qFormat/>
    <w:uiPriority w:val="0"/>
    <w:pPr>
      <w:jc w:val="both"/>
    </w:pPr>
    <w:rPr>
      <w:rFonts w:ascii="宋体" w:hAnsi="Times New Roman" w:eastAsia="宋体" w:cs="Times New Roman"/>
      <w:sz w:val="21"/>
      <w:lang w:val="en-US" w:eastAsia="zh-CN" w:bidi="ar-SA"/>
    </w:rPr>
  </w:style>
  <w:style w:type="paragraph" w:styleId="18">
    <w:name w:val="Normal Indent"/>
    <w:basedOn w:val="1"/>
    <w:qFormat/>
    <w:uiPriority w:val="0"/>
    <w:pPr>
      <w:adjustRightInd w:val="0"/>
      <w:snapToGrid w:val="0"/>
      <w:spacing w:beforeLines="50" w:after="160" w:line="312" w:lineRule="auto"/>
      <w:ind w:firstLine="200" w:firstLineChars="200"/>
    </w:pPr>
    <w:rPr>
      <w:szCs w:val="21"/>
    </w:rPr>
  </w:style>
  <w:style w:type="paragraph" w:styleId="19">
    <w:name w:val="caption"/>
    <w:basedOn w:val="1"/>
    <w:next w:val="1"/>
    <w:unhideWhenUsed/>
    <w:qFormat/>
    <w:uiPriority w:val="0"/>
    <w:rPr>
      <w:rFonts w:eastAsia="黑体" w:asciiTheme="majorHAnsi" w:hAnsiTheme="majorHAnsi" w:cstheme="majorBidi"/>
      <w:sz w:val="20"/>
      <w:szCs w:val="20"/>
    </w:rPr>
  </w:style>
  <w:style w:type="paragraph" w:styleId="20">
    <w:name w:val="annotation text"/>
    <w:basedOn w:val="1"/>
    <w:link w:val="122"/>
    <w:autoRedefine/>
    <w:qFormat/>
    <w:uiPriority w:val="0"/>
    <w:pPr>
      <w:jc w:val="left"/>
    </w:pPr>
  </w:style>
  <w:style w:type="paragraph" w:styleId="21">
    <w:name w:val="Body Text"/>
    <w:basedOn w:val="1"/>
    <w:autoRedefine/>
    <w:qFormat/>
    <w:uiPriority w:val="1"/>
    <w:rPr>
      <w:rFonts w:ascii="宋体" w:hAnsi="宋体" w:cs="宋体"/>
      <w:sz w:val="20"/>
      <w:szCs w:val="20"/>
    </w:rPr>
  </w:style>
  <w:style w:type="paragraph" w:styleId="22">
    <w:name w:val="Body Text Indent"/>
    <w:basedOn w:val="1"/>
    <w:link w:val="121"/>
    <w:qFormat/>
    <w:uiPriority w:val="0"/>
    <w:pPr>
      <w:spacing w:after="120"/>
      <w:ind w:left="420" w:leftChars="200"/>
    </w:pPr>
  </w:style>
  <w:style w:type="paragraph" w:styleId="23">
    <w:name w:val="HTML Address"/>
    <w:basedOn w:val="1"/>
    <w:autoRedefine/>
    <w:qFormat/>
    <w:uiPriority w:val="0"/>
    <w:rPr>
      <w:i/>
      <w:iCs/>
    </w:rPr>
  </w:style>
  <w:style w:type="paragraph" w:styleId="24">
    <w:name w:val="toc 8"/>
    <w:basedOn w:val="11"/>
    <w:next w:val="1"/>
    <w:autoRedefine/>
    <w:semiHidden/>
    <w:qFormat/>
    <w:uiPriority w:val="0"/>
  </w:style>
  <w:style w:type="paragraph" w:styleId="25">
    <w:name w:val="Date"/>
    <w:basedOn w:val="1"/>
    <w:next w:val="1"/>
    <w:autoRedefine/>
    <w:qFormat/>
    <w:uiPriority w:val="0"/>
    <w:pPr>
      <w:ind w:left="100" w:leftChars="2500"/>
    </w:pPr>
    <w:rPr>
      <w:rFonts w:eastAsia="黑体"/>
      <w:kern w:val="0"/>
      <w:szCs w:val="20"/>
    </w:rPr>
  </w:style>
  <w:style w:type="paragraph" w:styleId="26">
    <w:name w:val="Balloon Text"/>
    <w:basedOn w:val="1"/>
    <w:link w:val="113"/>
    <w:autoRedefine/>
    <w:qFormat/>
    <w:uiPriority w:val="0"/>
    <w:rPr>
      <w:sz w:val="18"/>
      <w:szCs w:val="18"/>
    </w:rPr>
  </w:style>
  <w:style w:type="paragraph" w:styleId="27">
    <w:name w:val="footer"/>
    <w:basedOn w:val="1"/>
    <w:autoRedefine/>
    <w:qFormat/>
    <w:uiPriority w:val="0"/>
    <w:pPr>
      <w:tabs>
        <w:tab w:val="center" w:pos="4153"/>
        <w:tab w:val="right" w:pos="8306"/>
      </w:tabs>
      <w:snapToGrid w:val="0"/>
      <w:ind w:right="210" w:rightChars="100"/>
      <w:jc w:val="right"/>
    </w:pPr>
    <w:rPr>
      <w:sz w:val="18"/>
      <w:szCs w:val="18"/>
    </w:rPr>
  </w:style>
  <w:style w:type="paragraph" w:styleId="2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9">
    <w:name w:val="index heading"/>
    <w:basedOn w:val="1"/>
    <w:next w:val="30"/>
    <w:qFormat/>
    <w:uiPriority w:val="0"/>
    <w:pPr>
      <w:spacing w:before="120" w:after="120" w:line="278" w:lineRule="auto"/>
      <w:jc w:val="center"/>
    </w:pPr>
    <w:rPr>
      <w:rFonts w:ascii="Calibri" w:hAnsi="Calibri"/>
      <w:b/>
      <w:bCs/>
      <w:iCs/>
      <w:szCs w:val="20"/>
    </w:rPr>
  </w:style>
  <w:style w:type="paragraph" w:styleId="30">
    <w:name w:val="index 1"/>
    <w:basedOn w:val="1"/>
    <w:next w:val="1"/>
    <w:autoRedefine/>
    <w:qFormat/>
    <w:uiPriority w:val="0"/>
  </w:style>
  <w:style w:type="paragraph" w:styleId="31">
    <w:name w:val="footnote text"/>
    <w:basedOn w:val="1"/>
    <w:autoRedefine/>
    <w:semiHidden/>
    <w:qFormat/>
    <w:uiPriority w:val="0"/>
    <w:pPr>
      <w:snapToGrid w:val="0"/>
      <w:jc w:val="left"/>
    </w:pPr>
    <w:rPr>
      <w:sz w:val="18"/>
      <w:szCs w:val="18"/>
    </w:rPr>
  </w:style>
  <w:style w:type="paragraph" w:styleId="32">
    <w:name w:val="toc 9"/>
    <w:basedOn w:val="24"/>
    <w:next w:val="1"/>
    <w:autoRedefine/>
    <w:semiHidden/>
    <w:qFormat/>
    <w:uiPriority w:val="0"/>
  </w:style>
  <w:style w:type="paragraph" w:styleId="33">
    <w:name w:val="List 4"/>
    <w:basedOn w:val="1"/>
    <w:qFormat/>
    <w:uiPriority w:val="0"/>
    <w:pPr>
      <w:spacing w:after="160" w:line="340" w:lineRule="exact"/>
      <w:ind w:left="100" w:leftChars="600" w:hanging="200" w:hangingChars="200"/>
    </w:pPr>
    <w:rPr>
      <w:szCs w:val="20"/>
    </w:rPr>
  </w:style>
  <w:style w:type="paragraph" w:styleId="34">
    <w:name w:val="HTML Preformatted"/>
    <w:basedOn w:val="1"/>
    <w:autoRedefine/>
    <w:qFormat/>
    <w:uiPriority w:val="0"/>
    <w:rPr>
      <w:rFonts w:ascii="Courier New" w:hAnsi="Courier New" w:cs="Courier New"/>
      <w:sz w:val="20"/>
      <w:szCs w:val="20"/>
    </w:rPr>
  </w:style>
  <w:style w:type="paragraph" w:styleId="35">
    <w:name w:val="Normal (Web)"/>
    <w:basedOn w:val="1"/>
    <w:qFormat/>
    <w:uiPriority w:val="0"/>
    <w:pPr>
      <w:keepNext w:val="0"/>
      <w:keepLines w:val="0"/>
      <w:widowControl/>
      <w:suppressLineNumbers w:val="0"/>
      <w:adjustRightInd/>
      <w:spacing w:before="0" w:beforeAutospacing="0" w:after="0" w:afterAutospacing="0" w:line="240" w:lineRule="auto"/>
      <w:ind w:left="0" w:right="0"/>
      <w:jc w:val="both"/>
    </w:pPr>
    <w:rPr>
      <w:rFonts w:hint="eastAsia" w:ascii="宋体" w:hAnsi="宋体" w:eastAsia="宋体" w:cs="宋体"/>
      <w:kern w:val="0"/>
      <w:sz w:val="24"/>
      <w:szCs w:val="24"/>
      <w:lang w:val="en-US" w:eastAsia="zh-CN" w:bidi="ar"/>
    </w:rPr>
  </w:style>
  <w:style w:type="paragraph" w:styleId="36">
    <w:name w:val="Title"/>
    <w:basedOn w:val="1"/>
    <w:autoRedefine/>
    <w:qFormat/>
    <w:uiPriority w:val="0"/>
    <w:pPr>
      <w:spacing w:before="240" w:after="60"/>
      <w:jc w:val="center"/>
      <w:outlineLvl w:val="0"/>
    </w:pPr>
    <w:rPr>
      <w:rFonts w:ascii="Arial" w:hAnsi="Arial" w:cs="Arial"/>
      <w:b/>
      <w:bCs/>
      <w:sz w:val="32"/>
      <w:szCs w:val="32"/>
    </w:rPr>
  </w:style>
  <w:style w:type="paragraph" w:styleId="37">
    <w:name w:val="annotation subject"/>
    <w:basedOn w:val="20"/>
    <w:next w:val="20"/>
    <w:link w:val="123"/>
    <w:semiHidden/>
    <w:unhideWhenUsed/>
    <w:qFormat/>
    <w:uiPriority w:val="0"/>
    <w:rPr>
      <w:b/>
      <w:bCs/>
    </w:rPr>
  </w:style>
  <w:style w:type="table" w:styleId="39">
    <w:name w:val="Table Grid"/>
    <w:basedOn w:val="3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page number"/>
    <w:autoRedefine/>
    <w:qFormat/>
    <w:uiPriority w:val="0"/>
    <w:rPr>
      <w:rFonts w:ascii="Times New Roman" w:hAnsi="Times New Roman" w:eastAsia="宋体"/>
      <w:sz w:val="18"/>
    </w:rPr>
  </w:style>
  <w:style w:type="character" w:styleId="42">
    <w:name w:val="HTML Definition"/>
    <w:autoRedefine/>
    <w:qFormat/>
    <w:uiPriority w:val="0"/>
    <w:rPr>
      <w:i/>
      <w:iCs/>
    </w:rPr>
  </w:style>
  <w:style w:type="character" w:styleId="43">
    <w:name w:val="HTML Typewriter"/>
    <w:autoRedefine/>
    <w:qFormat/>
    <w:uiPriority w:val="0"/>
    <w:rPr>
      <w:rFonts w:ascii="Courier New" w:hAnsi="Courier New"/>
      <w:sz w:val="20"/>
      <w:szCs w:val="20"/>
    </w:rPr>
  </w:style>
  <w:style w:type="character" w:styleId="44">
    <w:name w:val="HTML Acronym"/>
    <w:basedOn w:val="40"/>
    <w:autoRedefine/>
    <w:qFormat/>
    <w:uiPriority w:val="0"/>
  </w:style>
  <w:style w:type="character" w:styleId="45">
    <w:name w:val="HTML Variable"/>
    <w:autoRedefine/>
    <w:qFormat/>
    <w:uiPriority w:val="0"/>
    <w:rPr>
      <w:i/>
      <w:iCs/>
    </w:rPr>
  </w:style>
  <w:style w:type="character" w:styleId="46">
    <w:name w:val="Hyperlink"/>
    <w:autoRedefine/>
    <w:qFormat/>
    <w:uiPriority w:val="0"/>
    <w:rPr>
      <w:rFonts w:ascii="Times New Roman" w:hAnsi="Times New Roman" w:eastAsia="宋体"/>
      <w:color w:val="auto"/>
      <w:spacing w:val="0"/>
      <w:w w:val="100"/>
      <w:position w:val="0"/>
      <w:sz w:val="21"/>
      <w:u w:val="none"/>
      <w:vertAlign w:val="baseline"/>
    </w:rPr>
  </w:style>
  <w:style w:type="character" w:styleId="47">
    <w:name w:val="HTML Code"/>
    <w:autoRedefine/>
    <w:qFormat/>
    <w:uiPriority w:val="0"/>
    <w:rPr>
      <w:rFonts w:ascii="Courier New" w:hAnsi="Courier New"/>
      <w:sz w:val="20"/>
      <w:szCs w:val="20"/>
    </w:rPr>
  </w:style>
  <w:style w:type="character" w:styleId="48">
    <w:name w:val="annotation reference"/>
    <w:basedOn w:val="40"/>
    <w:qFormat/>
    <w:uiPriority w:val="0"/>
    <w:rPr>
      <w:sz w:val="21"/>
      <w:szCs w:val="21"/>
    </w:rPr>
  </w:style>
  <w:style w:type="character" w:styleId="49">
    <w:name w:val="HTML Cite"/>
    <w:autoRedefine/>
    <w:qFormat/>
    <w:uiPriority w:val="0"/>
    <w:rPr>
      <w:i/>
      <w:iCs/>
    </w:rPr>
  </w:style>
  <w:style w:type="character" w:styleId="50">
    <w:name w:val="footnote reference"/>
    <w:autoRedefine/>
    <w:semiHidden/>
    <w:qFormat/>
    <w:uiPriority w:val="0"/>
    <w:rPr>
      <w:vertAlign w:val="superscript"/>
    </w:rPr>
  </w:style>
  <w:style w:type="character" w:styleId="51">
    <w:name w:val="HTML Keyboard"/>
    <w:autoRedefine/>
    <w:qFormat/>
    <w:uiPriority w:val="0"/>
    <w:rPr>
      <w:rFonts w:ascii="Courier New" w:hAnsi="Courier New"/>
      <w:sz w:val="20"/>
      <w:szCs w:val="20"/>
    </w:rPr>
  </w:style>
  <w:style w:type="character" w:styleId="52">
    <w:name w:val="HTML Sample"/>
    <w:autoRedefine/>
    <w:qFormat/>
    <w:uiPriority w:val="0"/>
    <w:rPr>
      <w:rFonts w:ascii="Courier New" w:hAnsi="Courier New"/>
    </w:rPr>
  </w:style>
  <w:style w:type="paragraph" w:customStyle="1" w:styleId="53">
    <w:name w:val="段"/>
    <w:link w:val="54"/>
    <w:autoRedefine/>
    <w:qFormat/>
    <w:uiPriority w:val="0"/>
    <w:pPr>
      <w:autoSpaceDE w:val="0"/>
      <w:autoSpaceDN w:val="0"/>
      <w:spacing w:before="156" w:beforeLines="50"/>
      <w:ind w:firstLine="315" w:firstLineChars="150"/>
      <w:jc w:val="both"/>
    </w:pPr>
    <w:rPr>
      <w:rFonts w:ascii="Times New Roman" w:hAnsi="Times New Roman" w:eastAsia="宋体" w:cs="Times New Roman"/>
      <w:bCs/>
      <w:sz w:val="21"/>
      <w:lang w:val="en-US" w:eastAsia="zh-CN" w:bidi="ar-SA"/>
    </w:rPr>
  </w:style>
  <w:style w:type="character" w:customStyle="1" w:styleId="54">
    <w:name w:val="段 Char"/>
    <w:link w:val="53"/>
    <w:autoRedefine/>
    <w:qFormat/>
    <w:locked/>
    <w:uiPriority w:val="0"/>
    <w:rPr>
      <w:bCs/>
      <w:sz w:val="21"/>
    </w:rPr>
  </w:style>
  <w:style w:type="paragraph" w:customStyle="1" w:styleId="55">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6">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57">
    <w:name w:val="标准书脚_偶数页"/>
    <w:autoRedefine/>
    <w:qFormat/>
    <w:uiPriority w:val="0"/>
    <w:pPr>
      <w:spacing w:before="120"/>
    </w:pPr>
    <w:rPr>
      <w:rFonts w:ascii="Times New Roman" w:hAnsi="Times New Roman" w:eastAsia="宋体" w:cs="Times New Roman"/>
      <w:sz w:val="18"/>
      <w:lang w:val="en-US" w:eastAsia="zh-CN" w:bidi="ar-SA"/>
    </w:rPr>
  </w:style>
  <w:style w:type="paragraph" w:customStyle="1" w:styleId="58">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5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60">
    <w:name w:val="标准书眉_偶数页"/>
    <w:basedOn w:val="59"/>
    <w:next w:val="1"/>
    <w:autoRedefine/>
    <w:qFormat/>
    <w:uiPriority w:val="0"/>
    <w:pPr>
      <w:jc w:val="left"/>
    </w:pPr>
  </w:style>
  <w:style w:type="paragraph" w:customStyle="1" w:styleId="61">
    <w:name w:val="标准书眉一"/>
    <w:qFormat/>
    <w:uiPriority w:val="0"/>
    <w:pPr>
      <w:jc w:val="both"/>
    </w:pPr>
    <w:rPr>
      <w:rFonts w:ascii="Times New Roman" w:hAnsi="Times New Roman" w:eastAsia="宋体" w:cs="Times New Roman"/>
      <w:lang w:val="en-US" w:eastAsia="zh-CN" w:bidi="ar-SA"/>
    </w:rPr>
  </w:style>
  <w:style w:type="paragraph" w:customStyle="1" w:styleId="62">
    <w:name w:val="前言、引言标题"/>
    <w:next w:val="53"/>
    <w:autoRedefine/>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63">
    <w:name w:val="参考文献、索引标题"/>
    <w:basedOn w:val="62"/>
    <w:next w:val="1"/>
    <w:autoRedefine/>
    <w:qFormat/>
    <w:uiPriority w:val="0"/>
    <w:pPr>
      <w:spacing w:after="200"/>
    </w:pPr>
    <w:rPr>
      <w:sz w:val="21"/>
    </w:rPr>
  </w:style>
  <w:style w:type="paragraph" w:customStyle="1" w:styleId="64">
    <w:name w:val="章标题"/>
    <w:next w:val="53"/>
    <w:autoRedefine/>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65">
    <w:name w:val="一级条标题"/>
    <w:next w:val="53"/>
    <w:autoRedefine/>
    <w:qFormat/>
    <w:uiPriority w:val="0"/>
    <w:pPr>
      <w:outlineLvl w:val="2"/>
    </w:pPr>
    <w:rPr>
      <w:rFonts w:ascii="Times New Roman" w:hAnsi="Times New Roman" w:eastAsia="黑体" w:cs="Times New Roman"/>
      <w:sz w:val="21"/>
      <w:lang w:val="en-US" w:eastAsia="zh-CN" w:bidi="ar-SA"/>
    </w:rPr>
  </w:style>
  <w:style w:type="paragraph" w:customStyle="1" w:styleId="66">
    <w:name w:val="二级条标题"/>
    <w:basedOn w:val="65"/>
    <w:next w:val="53"/>
    <w:autoRedefine/>
    <w:qFormat/>
    <w:uiPriority w:val="0"/>
    <w:pPr>
      <w:outlineLvl w:val="3"/>
    </w:pPr>
  </w:style>
  <w:style w:type="character" w:customStyle="1" w:styleId="67">
    <w:name w:val="发布"/>
    <w:autoRedefine/>
    <w:qFormat/>
    <w:uiPriority w:val="0"/>
    <w:rPr>
      <w:rFonts w:ascii="黑体" w:eastAsia="黑体"/>
      <w:spacing w:val="22"/>
      <w:w w:val="100"/>
      <w:position w:val="3"/>
      <w:sz w:val="28"/>
    </w:rPr>
  </w:style>
  <w:style w:type="paragraph" w:customStyle="1" w:styleId="68">
    <w:name w:val="发布部门"/>
    <w:next w:val="53"/>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69">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70">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1">
    <w:name w:val="封面标准号2"/>
    <w:basedOn w:val="70"/>
    <w:autoRedefine/>
    <w:qFormat/>
    <w:uiPriority w:val="0"/>
    <w:pPr>
      <w:framePr w:w="9138" w:h="1244" w:hRule="exact" w:wrap="around" w:vAnchor="page" w:hAnchor="margin" w:y="2908"/>
      <w:adjustRightInd w:val="0"/>
      <w:spacing w:before="357" w:line="280" w:lineRule="exact"/>
    </w:pPr>
  </w:style>
  <w:style w:type="paragraph" w:customStyle="1" w:styleId="72">
    <w:name w:val="封面标准代替信息"/>
    <w:basedOn w:val="71"/>
    <w:autoRedefine/>
    <w:qFormat/>
    <w:uiPriority w:val="0"/>
    <w:pPr>
      <w:framePr w:wrap="around"/>
      <w:spacing w:before="57"/>
    </w:pPr>
    <w:rPr>
      <w:rFonts w:ascii="宋体"/>
      <w:sz w:val="21"/>
    </w:rPr>
  </w:style>
  <w:style w:type="paragraph" w:customStyle="1" w:styleId="73">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4">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7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76">
    <w:name w:val="封面标准英文名称"/>
    <w:autoRedefine/>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77">
    <w:name w:val="封面一致性程度标识"/>
    <w:autoRedefine/>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78">
    <w:name w:val="封面正文"/>
    <w:autoRedefine/>
    <w:qFormat/>
    <w:uiPriority w:val="0"/>
    <w:pPr>
      <w:jc w:val="both"/>
    </w:pPr>
    <w:rPr>
      <w:rFonts w:ascii="Times New Roman" w:hAnsi="Times New Roman" w:eastAsia="宋体" w:cs="Times New Roman"/>
      <w:lang w:val="en-US" w:eastAsia="zh-CN" w:bidi="ar-SA"/>
    </w:rPr>
  </w:style>
  <w:style w:type="paragraph" w:customStyle="1" w:styleId="79">
    <w:name w:val="附录标识"/>
    <w:basedOn w:val="62"/>
    <w:autoRedefine/>
    <w:qFormat/>
    <w:uiPriority w:val="0"/>
    <w:pPr>
      <w:numPr>
        <w:ilvl w:val="0"/>
        <w:numId w:val="1"/>
      </w:numPr>
      <w:tabs>
        <w:tab w:val="left" w:pos="6405"/>
      </w:tabs>
      <w:spacing w:after="200"/>
    </w:pPr>
    <w:rPr>
      <w:sz w:val="21"/>
    </w:rPr>
  </w:style>
  <w:style w:type="paragraph" w:customStyle="1" w:styleId="80">
    <w:name w:val="附录表标题"/>
    <w:next w:val="53"/>
    <w:autoRedefine/>
    <w:qFormat/>
    <w:uiPriority w:val="0"/>
    <w:pPr>
      <w:numPr>
        <w:ilvl w:val="0"/>
        <w:numId w:val="2"/>
      </w:numPr>
      <w:jc w:val="center"/>
      <w:textAlignment w:val="baseline"/>
    </w:pPr>
    <w:rPr>
      <w:rFonts w:ascii="黑体" w:hAnsi="Times New Roman" w:eastAsia="黑体" w:cs="Times New Roman"/>
      <w:kern w:val="21"/>
      <w:sz w:val="21"/>
      <w:lang w:val="en-US" w:eastAsia="zh-CN" w:bidi="ar-SA"/>
    </w:rPr>
  </w:style>
  <w:style w:type="paragraph" w:customStyle="1" w:styleId="81">
    <w:name w:val="附录章标题"/>
    <w:next w:val="53"/>
    <w:autoRedefine/>
    <w:qFormat/>
    <w:uiPriority w:val="0"/>
    <w:pPr>
      <w:numPr>
        <w:ilvl w:val="1"/>
        <w:numId w:val="1"/>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2">
    <w:name w:val="附录一级条标题"/>
    <w:basedOn w:val="81"/>
    <w:next w:val="53"/>
    <w:autoRedefine/>
    <w:qFormat/>
    <w:uiPriority w:val="0"/>
    <w:pPr>
      <w:numPr>
        <w:ilvl w:val="0"/>
        <w:numId w:val="0"/>
      </w:numPr>
      <w:autoSpaceDN w:val="0"/>
      <w:spacing w:beforeLines="0" w:afterLines="0"/>
      <w:outlineLvl w:val="2"/>
    </w:pPr>
  </w:style>
  <w:style w:type="paragraph" w:customStyle="1" w:styleId="83">
    <w:name w:val="附录二级条标题"/>
    <w:basedOn w:val="82"/>
    <w:next w:val="53"/>
    <w:autoRedefine/>
    <w:qFormat/>
    <w:uiPriority w:val="0"/>
    <w:pPr>
      <w:outlineLvl w:val="3"/>
    </w:pPr>
  </w:style>
  <w:style w:type="paragraph" w:customStyle="1" w:styleId="84">
    <w:name w:val="附录三级条标题"/>
    <w:basedOn w:val="83"/>
    <w:next w:val="53"/>
    <w:autoRedefine/>
    <w:qFormat/>
    <w:uiPriority w:val="0"/>
    <w:pPr>
      <w:outlineLvl w:val="4"/>
    </w:pPr>
  </w:style>
  <w:style w:type="paragraph" w:customStyle="1" w:styleId="85">
    <w:name w:val="附录四级条标题"/>
    <w:basedOn w:val="84"/>
    <w:next w:val="53"/>
    <w:autoRedefine/>
    <w:qFormat/>
    <w:uiPriority w:val="0"/>
    <w:pPr>
      <w:outlineLvl w:val="5"/>
    </w:pPr>
  </w:style>
  <w:style w:type="paragraph" w:customStyle="1" w:styleId="86">
    <w:name w:val="附录图标题"/>
    <w:next w:val="53"/>
    <w:autoRedefine/>
    <w:qFormat/>
    <w:uiPriority w:val="0"/>
    <w:pPr>
      <w:numPr>
        <w:ilvl w:val="0"/>
        <w:numId w:val="3"/>
      </w:numPr>
      <w:jc w:val="center"/>
    </w:pPr>
    <w:rPr>
      <w:rFonts w:ascii="黑体" w:hAnsi="Times New Roman" w:eastAsia="黑体" w:cs="Times New Roman"/>
      <w:sz w:val="21"/>
      <w:lang w:val="en-US" w:eastAsia="zh-CN" w:bidi="ar-SA"/>
    </w:rPr>
  </w:style>
  <w:style w:type="paragraph" w:customStyle="1" w:styleId="87">
    <w:name w:val="附录五级条标题"/>
    <w:basedOn w:val="85"/>
    <w:next w:val="53"/>
    <w:autoRedefine/>
    <w:qFormat/>
    <w:uiPriority w:val="0"/>
    <w:pPr>
      <w:numPr>
        <w:ilvl w:val="6"/>
        <w:numId w:val="4"/>
      </w:numPr>
      <w:outlineLvl w:val="6"/>
    </w:pPr>
  </w:style>
  <w:style w:type="character" w:customStyle="1" w:styleId="88">
    <w:name w:val="个人答复风格"/>
    <w:autoRedefine/>
    <w:qFormat/>
    <w:uiPriority w:val="0"/>
    <w:rPr>
      <w:rFonts w:ascii="Arial" w:hAnsi="Arial" w:eastAsia="宋体" w:cs="Arial"/>
      <w:color w:val="auto"/>
      <w:sz w:val="20"/>
    </w:rPr>
  </w:style>
  <w:style w:type="character" w:customStyle="1" w:styleId="89">
    <w:name w:val="个人撰写风格"/>
    <w:autoRedefine/>
    <w:qFormat/>
    <w:uiPriority w:val="0"/>
    <w:rPr>
      <w:rFonts w:ascii="Arial" w:hAnsi="Arial" w:eastAsia="宋体" w:cs="Arial"/>
      <w:color w:val="auto"/>
      <w:sz w:val="20"/>
    </w:rPr>
  </w:style>
  <w:style w:type="paragraph" w:customStyle="1" w:styleId="90">
    <w:name w:val="列项——（一级）"/>
    <w:autoRedefine/>
    <w:qFormat/>
    <w:uiPriority w:val="0"/>
    <w:pPr>
      <w:widowControl w:val="0"/>
      <w:numPr>
        <w:ilvl w:val="0"/>
        <w:numId w:val="5"/>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91">
    <w:name w:val="列项●（二级）"/>
    <w:autoRedefine/>
    <w:qFormat/>
    <w:uiPriority w:val="0"/>
    <w:pPr>
      <w:numPr>
        <w:ilvl w:val="0"/>
        <w:numId w:val="6"/>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92">
    <w:name w:val="目次、标准名称标题"/>
    <w:basedOn w:val="62"/>
    <w:next w:val="53"/>
    <w:autoRedefine/>
    <w:qFormat/>
    <w:uiPriority w:val="0"/>
    <w:pPr>
      <w:spacing w:line="460" w:lineRule="exact"/>
    </w:pPr>
  </w:style>
  <w:style w:type="paragraph" w:customStyle="1" w:styleId="93">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94">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95">
    <w:name w:val="其他发布部门"/>
    <w:basedOn w:val="68"/>
    <w:autoRedefine/>
    <w:qFormat/>
    <w:uiPriority w:val="0"/>
    <w:pPr>
      <w:framePr w:wrap="around"/>
      <w:spacing w:line="0" w:lineRule="atLeast"/>
    </w:pPr>
    <w:rPr>
      <w:rFonts w:ascii="黑体" w:eastAsia="黑体"/>
      <w:b w:val="0"/>
    </w:rPr>
  </w:style>
  <w:style w:type="paragraph" w:customStyle="1" w:styleId="96">
    <w:name w:val="三级条标题"/>
    <w:basedOn w:val="66"/>
    <w:next w:val="53"/>
    <w:autoRedefine/>
    <w:qFormat/>
    <w:uiPriority w:val="0"/>
    <w:pPr>
      <w:numPr>
        <w:ilvl w:val="4"/>
        <w:numId w:val="7"/>
      </w:numPr>
      <w:outlineLvl w:val="4"/>
    </w:pPr>
  </w:style>
  <w:style w:type="paragraph" w:customStyle="1" w:styleId="97">
    <w:name w:val="实施日期"/>
    <w:basedOn w:val="69"/>
    <w:autoRedefine/>
    <w:qFormat/>
    <w:uiPriority w:val="0"/>
    <w:pPr>
      <w:framePr w:hSpace="0" w:wrap="around" w:xAlign="right"/>
      <w:jc w:val="right"/>
    </w:pPr>
  </w:style>
  <w:style w:type="paragraph" w:customStyle="1" w:styleId="98">
    <w:name w:val="示例"/>
    <w:next w:val="53"/>
    <w:autoRedefine/>
    <w:qFormat/>
    <w:uiPriority w:val="0"/>
    <w:pPr>
      <w:tabs>
        <w:tab w:val="left" w:pos="760"/>
        <w:tab w:val="left" w:pos="816"/>
      </w:tabs>
      <w:ind w:left="717" w:firstLine="419" w:firstLineChars="233"/>
      <w:jc w:val="both"/>
    </w:pPr>
    <w:rPr>
      <w:rFonts w:ascii="宋体" w:hAnsi="Times New Roman" w:eastAsia="宋体" w:cs="Times New Roman"/>
      <w:sz w:val="18"/>
      <w:lang w:val="en-US" w:eastAsia="zh-CN" w:bidi="ar-SA"/>
    </w:rPr>
  </w:style>
  <w:style w:type="paragraph" w:customStyle="1" w:styleId="99">
    <w:name w:val="数字编号列项（二级）"/>
    <w:autoRedefine/>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00">
    <w:name w:val="四级条标题"/>
    <w:basedOn w:val="96"/>
    <w:next w:val="53"/>
    <w:autoRedefine/>
    <w:qFormat/>
    <w:uiPriority w:val="0"/>
    <w:pPr>
      <w:numPr>
        <w:ilvl w:val="5"/>
        <w:numId w:val="8"/>
      </w:numPr>
      <w:outlineLvl w:val="5"/>
    </w:pPr>
  </w:style>
  <w:style w:type="paragraph" w:customStyle="1" w:styleId="101">
    <w:name w:val="条文脚注"/>
    <w:basedOn w:val="31"/>
    <w:autoRedefine/>
    <w:qFormat/>
    <w:uiPriority w:val="0"/>
    <w:pPr>
      <w:ind w:left="780" w:leftChars="200" w:hanging="360" w:hangingChars="200"/>
      <w:jc w:val="both"/>
    </w:pPr>
    <w:rPr>
      <w:rFonts w:ascii="宋体"/>
    </w:rPr>
  </w:style>
  <w:style w:type="paragraph" w:customStyle="1" w:styleId="102">
    <w:name w:val="图表脚注"/>
    <w:next w:val="53"/>
    <w:autoRedefine/>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03">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04">
    <w:name w:val="五级条标题"/>
    <w:basedOn w:val="100"/>
    <w:next w:val="53"/>
    <w:autoRedefine/>
    <w:qFormat/>
    <w:uiPriority w:val="0"/>
    <w:pPr>
      <w:numPr>
        <w:ilvl w:val="6"/>
        <w:numId w:val="3"/>
      </w:numPr>
      <w:outlineLvl w:val="6"/>
    </w:pPr>
  </w:style>
  <w:style w:type="paragraph" w:customStyle="1" w:styleId="105">
    <w:name w:val="正文表标题"/>
    <w:next w:val="53"/>
    <w:autoRedefine/>
    <w:qFormat/>
    <w:uiPriority w:val="0"/>
    <w:pPr>
      <w:numPr>
        <w:ilvl w:val="0"/>
        <w:numId w:val="9"/>
      </w:numPr>
      <w:jc w:val="center"/>
    </w:pPr>
    <w:rPr>
      <w:rFonts w:ascii="黑体" w:hAnsi="Times New Roman" w:eastAsia="黑体" w:cs="Times New Roman"/>
      <w:sz w:val="21"/>
      <w:lang w:val="en-US" w:eastAsia="zh-CN" w:bidi="ar-SA"/>
    </w:rPr>
  </w:style>
  <w:style w:type="paragraph" w:customStyle="1" w:styleId="106">
    <w:name w:val="正文图标题"/>
    <w:next w:val="53"/>
    <w:autoRedefine/>
    <w:qFormat/>
    <w:uiPriority w:val="0"/>
    <w:pPr>
      <w:numPr>
        <w:ilvl w:val="0"/>
        <w:numId w:val="10"/>
      </w:numPr>
      <w:jc w:val="center"/>
    </w:pPr>
    <w:rPr>
      <w:rFonts w:ascii="黑体" w:hAnsi="Times New Roman" w:eastAsia="黑体" w:cs="Times New Roman"/>
      <w:sz w:val="21"/>
      <w:lang w:val="en-US" w:eastAsia="zh-CN" w:bidi="ar-SA"/>
    </w:rPr>
  </w:style>
  <w:style w:type="paragraph" w:customStyle="1" w:styleId="107">
    <w:name w:val="注："/>
    <w:next w:val="53"/>
    <w:autoRedefine/>
    <w:qFormat/>
    <w:uiPriority w:val="0"/>
    <w:pPr>
      <w:widowControl w:val="0"/>
      <w:numPr>
        <w:ilvl w:val="0"/>
        <w:numId w:val="11"/>
      </w:numPr>
      <w:autoSpaceDE w:val="0"/>
      <w:autoSpaceDN w:val="0"/>
      <w:jc w:val="both"/>
    </w:pPr>
    <w:rPr>
      <w:rFonts w:ascii="宋体" w:hAnsi="Times New Roman" w:eastAsia="宋体" w:cs="Times New Roman"/>
      <w:sz w:val="18"/>
      <w:lang w:val="en-US" w:eastAsia="zh-CN" w:bidi="ar-SA"/>
    </w:rPr>
  </w:style>
  <w:style w:type="paragraph" w:customStyle="1" w:styleId="108">
    <w:name w:val="注×："/>
    <w:autoRedefine/>
    <w:qFormat/>
    <w:uiPriority w:val="0"/>
    <w:pPr>
      <w:widowControl w:val="0"/>
      <w:numPr>
        <w:ilvl w:val="0"/>
        <w:numId w:val="12"/>
      </w:numPr>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09">
    <w:name w:val="字母编号列项（一级）"/>
    <w:autoRedefine/>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10">
    <w:name w:val="列项◆（三级）"/>
    <w:autoRedefine/>
    <w:qFormat/>
    <w:uiPriority w:val="0"/>
    <w:pPr>
      <w:numPr>
        <w:ilvl w:val="0"/>
        <w:numId w:val="8"/>
      </w:numPr>
      <w:ind w:left="800" w:leftChars="600" w:hanging="200" w:hangingChars="200"/>
    </w:pPr>
    <w:rPr>
      <w:rFonts w:ascii="宋体" w:hAnsi="Times New Roman" w:eastAsia="宋体" w:cs="Times New Roman"/>
      <w:sz w:val="21"/>
      <w:lang w:val="en-US" w:eastAsia="zh-CN" w:bidi="ar-SA"/>
    </w:rPr>
  </w:style>
  <w:style w:type="paragraph" w:customStyle="1" w:styleId="111">
    <w:name w:val="编号列项（三级）"/>
    <w:autoRedefine/>
    <w:qFormat/>
    <w:uiPriority w:val="0"/>
    <w:pPr>
      <w:ind w:left="800" w:leftChars="600" w:hanging="200" w:hangingChars="200"/>
    </w:pPr>
    <w:rPr>
      <w:rFonts w:ascii="宋体" w:hAnsi="Times New Roman" w:eastAsia="宋体" w:cs="Times New Roman"/>
      <w:sz w:val="21"/>
      <w:lang w:val="en-US" w:eastAsia="zh-CN" w:bidi="ar-SA"/>
    </w:rPr>
  </w:style>
  <w:style w:type="character" w:styleId="112">
    <w:name w:val="Placeholder Text"/>
    <w:basedOn w:val="40"/>
    <w:autoRedefine/>
    <w:semiHidden/>
    <w:qFormat/>
    <w:uiPriority w:val="99"/>
    <w:rPr>
      <w:color w:val="808080"/>
    </w:rPr>
  </w:style>
  <w:style w:type="character" w:customStyle="1" w:styleId="113">
    <w:name w:val="批注框文本 字符"/>
    <w:basedOn w:val="40"/>
    <w:link w:val="26"/>
    <w:autoRedefine/>
    <w:qFormat/>
    <w:uiPriority w:val="0"/>
    <w:rPr>
      <w:kern w:val="2"/>
      <w:sz w:val="18"/>
      <w:szCs w:val="18"/>
    </w:rPr>
  </w:style>
  <w:style w:type="table" w:customStyle="1" w:styleId="114">
    <w:name w:val="Table Normal"/>
    <w:autoRedefine/>
    <w:semiHidden/>
    <w:unhideWhenUsed/>
    <w:qFormat/>
    <w:uiPriority w:val="0"/>
    <w:tblPr>
      <w:tblCellMar>
        <w:top w:w="0" w:type="dxa"/>
        <w:left w:w="0" w:type="dxa"/>
        <w:bottom w:w="0" w:type="dxa"/>
        <w:right w:w="0" w:type="dxa"/>
      </w:tblCellMar>
    </w:tblPr>
  </w:style>
  <w:style w:type="paragraph" w:customStyle="1" w:styleId="115">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116">
    <w:name w:val="章"/>
    <w:basedOn w:val="1"/>
    <w:qFormat/>
    <w:uiPriority w:val="0"/>
    <w:pPr>
      <w:spacing w:beforeLines="100" w:after="160" w:afterLines="100" w:line="300" w:lineRule="auto"/>
      <w:jc w:val="center"/>
      <w:outlineLvl w:val="0"/>
    </w:pPr>
    <w:rPr>
      <w:b/>
      <w:bCs/>
      <w:sz w:val="28"/>
      <w:szCs w:val="28"/>
    </w:rPr>
  </w:style>
  <w:style w:type="paragraph" w:customStyle="1" w:styleId="117">
    <w:name w:val="正文公式编号制表符"/>
    <w:basedOn w:val="53"/>
    <w:next w:val="53"/>
    <w:qFormat/>
    <w:uiPriority w:val="0"/>
    <w:pPr>
      <w:tabs>
        <w:tab w:val="center" w:pos="4201"/>
        <w:tab w:val="right" w:leader="dot" w:pos="9298"/>
      </w:tabs>
      <w:spacing w:after="160" w:line="278" w:lineRule="auto"/>
      <w:ind w:firstLine="0" w:firstLineChars="0"/>
    </w:pPr>
  </w:style>
  <w:style w:type="character" w:customStyle="1" w:styleId="118">
    <w:name w:val="fontstyle11"/>
    <w:basedOn w:val="40"/>
    <w:qFormat/>
    <w:uiPriority w:val="0"/>
    <w:rPr>
      <w:rFonts w:hint="default" w:ascii="Times New Roman" w:hAnsi="Times New Roman" w:cs="Times New Roman"/>
      <w:b/>
      <w:color w:val="000000"/>
      <w:sz w:val="22"/>
      <w:szCs w:val="22"/>
    </w:rPr>
  </w:style>
  <w:style w:type="paragraph" w:customStyle="1" w:styleId="119">
    <w:name w:val="列出段落2"/>
    <w:basedOn w:val="1"/>
    <w:unhideWhenUsed/>
    <w:qFormat/>
    <w:uiPriority w:val="34"/>
    <w:pPr>
      <w:spacing w:after="160" w:line="278" w:lineRule="auto"/>
      <w:ind w:firstLine="420" w:firstLineChars="200"/>
    </w:pPr>
  </w:style>
  <w:style w:type="paragraph" w:styleId="120">
    <w:name w:val="List Paragraph"/>
    <w:basedOn w:val="1"/>
    <w:unhideWhenUsed/>
    <w:qFormat/>
    <w:uiPriority w:val="99"/>
    <w:pPr>
      <w:spacing w:after="160" w:line="278" w:lineRule="auto"/>
      <w:ind w:firstLine="420" w:firstLineChars="200"/>
    </w:pPr>
  </w:style>
  <w:style w:type="character" w:customStyle="1" w:styleId="121">
    <w:name w:val="正文文本缩进 字符"/>
    <w:basedOn w:val="40"/>
    <w:link w:val="22"/>
    <w:qFormat/>
    <w:uiPriority w:val="0"/>
    <w:rPr>
      <w:kern w:val="2"/>
      <w:sz w:val="21"/>
      <w:szCs w:val="24"/>
    </w:rPr>
  </w:style>
  <w:style w:type="character" w:customStyle="1" w:styleId="122">
    <w:name w:val="批注文字 字符"/>
    <w:basedOn w:val="40"/>
    <w:link w:val="20"/>
    <w:qFormat/>
    <w:uiPriority w:val="0"/>
    <w:rPr>
      <w:kern w:val="2"/>
      <w:sz w:val="21"/>
      <w:szCs w:val="24"/>
    </w:rPr>
  </w:style>
  <w:style w:type="character" w:customStyle="1" w:styleId="123">
    <w:name w:val="批注主题 字符"/>
    <w:basedOn w:val="122"/>
    <w:link w:val="37"/>
    <w:semiHidden/>
    <w:qFormat/>
    <w:uiPriority w:val="0"/>
    <w:rPr>
      <w:b/>
      <w:bCs/>
      <w:kern w:val="2"/>
      <w:sz w:val="21"/>
      <w:szCs w:val="24"/>
    </w:rPr>
  </w:style>
  <w:style w:type="paragraph" w:customStyle="1" w:styleId="124">
    <w:name w:val="公式"/>
    <w:basedOn w:val="1"/>
    <w:qFormat/>
    <w:uiPriority w:val="0"/>
    <w:pPr>
      <w:adjustRightInd w:val="0"/>
      <w:snapToGrid w:val="0"/>
      <w:spacing w:before="160" w:after="40" w:line="420" w:lineRule="atLeast"/>
      <w:ind w:firstLine="522"/>
      <w:jc w:val="left"/>
      <w:textAlignment w:val="baseline"/>
    </w:pPr>
    <w:rPr>
      <w:color w:val="000000"/>
      <w:spacing w:val="10"/>
      <w:kern w:val="0"/>
      <w:sz w:val="24"/>
      <w:szCs w:val="20"/>
    </w:rPr>
  </w:style>
  <w:style w:type="paragraph" w:customStyle="1" w:styleId="125">
    <w:name w:val="标准文件_二级无标题"/>
    <w:basedOn w:val="126"/>
    <w:qFormat/>
    <w:uiPriority w:val="0"/>
    <w:pPr>
      <w:spacing w:before="0" w:beforeLines="0" w:after="0" w:afterLines="0"/>
      <w:ind w:left="283"/>
      <w:outlineLvl w:val="9"/>
    </w:pPr>
    <w:rPr>
      <w:rFonts w:ascii="宋体" w:eastAsia="宋体"/>
    </w:rPr>
  </w:style>
  <w:style w:type="paragraph" w:customStyle="1" w:styleId="126">
    <w:name w:val="标准文件_二级条标题"/>
    <w:next w:val="127"/>
    <w:qFormat/>
    <w:uiPriority w:val="0"/>
    <w:pPr>
      <w:widowControl w:val="0"/>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127">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8">
    <w:name w:val="标准文件_一级条标题"/>
    <w:basedOn w:val="129"/>
    <w:next w:val="127"/>
    <w:qFormat/>
    <w:uiPriority w:val="0"/>
    <w:pPr>
      <w:spacing w:before="50" w:beforeLines="50" w:after="50" w:afterLines="50"/>
      <w:outlineLvl w:val="1"/>
    </w:pPr>
  </w:style>
  <w:style w:type="paragraph" w:customStyle="1" w:styleId="129">
    <w:name w:val="标准文件_章标题"/>
    <w:next w:val="127"/>
    <w:qFormat/>
    <w:uiPriority w:val="0"/>
    <w:p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30">
    <w:name w:val="标准文件_正文公式"/>
    <w:basedOn w:val="1"/>
    <w:next w:val="131"/>
    <w:qFormat/>
    <w:uiPriority w:val="0"/>
    <w:pPr>
      <w:tabs>
        <w:tab w:val="center" w:pos="4678"/>
        <w:tab w:val="right" w:leader="middleDot" w:pos="9356"/>
      </w:tabs>
    </w:pPr>
    <w:rPr>
      <w:rFonts w:ascii="宋体" w:hAnsi="宋体"/>
    </w:rPr>
  </w:style>
  <w:style w:type="paragraph" w:customStyle="1" w:styleId="131">
    <w:name w:val="标准文件_标准正文"/>
    <w:basedOn w:val="1"/>
    <w:next w:val="127"/>
    <w:qFormat/>
    <w:uiPriority w:val="0"/>
    <w:pPr>
      <w:snapToGrid w:val="0"/>
      <w:ind w:firstLine="200" w:firstLineChars="200"/>
    </w:pPr>
    <w:rPr>
      <w:kern w:val="0"/>
    </w:rPr>
  </w:style>
  <w:style w:type="paragraph" w:customStyle="1" w:styleId="132">
    <w:name w:val="标准文件_目录标题"/>
    <w:basedOn w:val="1"/>
    <w:qFormat/>
    <w:uiPriority w:val="0"/>
    <w:pPr>
      <w:spacing w:before="480" w:afterLines="150" w:line="240" w:lineRule="auto"/>
      <w:jc w:val="center"/>
    </w:pPr>
    <w:rPr>
      <w:rFonts w:ascii="黑体" w:eastAsia="黑体"/>
      <w:sz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52.png"/><Relationship Id="rId98" Type="http://schemas.openxmlformats.org/officeDocument/2006/relationships/image" Target="media/image51.png"/><Relationship Id="rId97" Type="http://schemas.openxmlformats.org/officeDocument/2006/relationships/image" Target="media/image50.png"/><Relationship Id="rId96" Type="http://schemas.openxmlformats.org/officeDocument/2006/relationships/image" Target="media/image49.wmf"/><Relationship Id="rId95" Type="http://schemas.openxmlformats.org/officeDocument/2006/relationships/oleObject" Target="embeddings/oleObject37.bin"/><Relationship Id="rId94" Type="http://schemas.openxmlformats.org/officeDocument/2006/relationships/image" Target="media/image48.png"/><Relationship Id="rId93" Type="http://schemas.openxmlformats.org/officeDocument/2006/relationships/image" Target="media/image47.wmf"/><Relationship Id="rId92" Type="http://schemas.openxmlformats.org/officeDocument/2006/relationships/oleObject" Target="embeddings/oleObject36.bin"/><Relationship Id="rId91" Type="http://schemas.openxmlformats.org/officeDocument/2006/relationships/image" Target="media/image46.wmf"/><Relationship Id="rId90" Type="http://schemas.openxmlformats.org/officeDocument/2006/relationships/oleObject" Target="embeddings/oleObject35.bin"/><Relationship Id="rId9" Type="http://schemas.openxmlformats.org/officeDocument/2006/relationships/footer" Target="footer5.xml"/><Relationship Id="rId89" Type="http://schemas.openxmlformats.org/officeDocument/2006/relationships/image" Target="media/image45.wmf"/><Relationship Id="rId88" Type="http://schemas.openxmlformats.org/officeDocument/2006/relationships/oleObject" Target="embeddings/oleObject34.bin"/><Relationship Id="rId87" Type="http://schemas.openxmlformats.org/officeDocument/2006/relationships/image" Target="media/image44.wmf"/><Relationship Id="rId86" Type="http://schemas.openxmlformats.org/officeDocument/2006/relationships/oleObject" Target="embeddings/oleObject33.bin"/><Relationship Id="rId85" Type="http://schemas.openxmlformats.org/officeDocument/2006/relationships/image" Target="media/image43.wmf"/><Relationship Id="rId84" Type="http://schemas.openxmlformats.org/officeDocument/2006/relationships/oleObject" Target="embeddings/oleObject32.bin"/><Relationship Id="rId83" Type="http://schemas.openxmlformats.org/officeDocument/2006/relationships/image" Target="media/image42.png"/><Relationship Id="rId82" Type="http://schemas.openxmlformats.org/officeDocument/2006/relationships/image" Target="media/image41.png"/><Relationship Id="rId81" Type="http://schemas.openxmlformats.org/officeDocument/2006/relationships/image" Target="media/image40.wmf"/><Relationship Id="rId80" Type="http://schemas.openxmlformats.org/officeDocument/2006/relationships/oleObject" Target="embeddings/oleObject31.bin"/><Relationship Id="rId8" Type="http://schemas.openxmlformats.org/officeDocument/2006/relationships/footer" Target="footer4.xml"/><Relationship Id="rId79" Type="http://schemas.openxmlformats.org/officeDocument/2006/relationships/image" Target="media/image39.png"/><Relationship Id="rId78" Type="http://schemas.openxmlformats.org/officeDocument/2006/relationships/image" Target="media/image38.emf"/><Relationship Id="rId77" Type="http://schemas.openxmlformats.org/officeDocument/2006/relationships/image" Target="media/image37.wmf"/><Relationship Id="rId76" Type="http://schemas.openxmlformats.org/officeDocument/2006/relationships/oleObject" Target="embeddings/oleObject30.bin"/><Relationship Id="rId75" Type="http://schemas.openxmlformats.org/officeDocument/2006/relationships/image" Target="media/image36.wmf"/><Relationship Id="rId74" Type="http://schemas.openxmlformats.org/officeDocument/2006/relationships/oleObject" Target="embeddings/oleObject29.bin"/><Relationship Id="rId73" Type="http://schemas.openxmlformats.org/officeDocument/2006/relationships/image" Target="media/image35.wmf"/><Relationship Id="rId72" Type="http://schemas.openxmlformats.org/officeDocument/2006/relationships/oleObject" Target="embeddings/oleObject28.bin"/><Relationship Id="rId71" Type="http://schemas.openxmlformats.org/officeDocument/2006/relationships/image" Target="media/image34.wmf"/><Relationship Id="rId70" Type="http://schemas.openxmlformats.org/officeDocument/2006/relationships/oleObject" Target="embeddings/oleObject27.bin"/><Relationship Id="rId7" Type="http://schemas.openxmlformats.org/officeDocument/2006/relationships/footer" Target="footer3.xml"/><Relationship Id="rId69" Type="http://schemas.openxmlformats.org/officeDocument/2006/relationships/image" Target="media/image33.wmf"/><Relationship Id="rId68" Type="http://schemas.openxmlformats.org/officeDocument/2006/relationships/oleObject" Target="embeddings/oleObject26.bin"/><Relationship Id="rId67" Type="http://schemas.openxmlformats.org/officeDocument/2006/relationships/image" Target="media/image32.wmf"/><Relationship Id="rId66" Type="http://schemas.openxmlformats.org/officeDocument/2006/relationships/oleObject" Target="embeddings/oleObject25.bin"/><Relationship Id="rId65" Type="http://schemas.openxmlformats.org/officeDocument/2006/relationships/image" Target="media/image31.wmf"/><Relationship Id="rId64" Type="http://schemas.openxmlformats.org/officeDocument/2006/relationships/oleObject" Target="embeddings/oleObject24.bin"/><Relationship Id="rId63" Type="http://schemas.openxmlformats.org/officeDocument/2006/relationships/image" Target="media/image30.wmf"/><Relationship Id="rId62" Type="http://schemas.openxmlformats.org/officeDocument/2006/relationships/oleObject" Target="embeddings/oleObject23.bin"/><Relationship Id="rId61" Type="http://schemas.openxmlformats.org/officeDocument/2006/relationships/image" Target="media/image29.wmf"/><Relationship Id="rId60" Type="http://schemas.openxmlformats.org/officeDocument/2006/relationships/oleObject" Target="embeddings/oleObject22.bin"/><Relationship Id="rId6" Type="http://schemas.openxmlformats.org/officeDocument/2006/relationships/footer" Target="footer2.xml"/><Relationship Id="rId59" Type="http://schemas.openxmlformats.org/officeDocument/2006/relationships/image" Target="media/image28.wmf"/><Relationship Id="rId58" Type="http://schemas.openxmlformats.org/officeDocument/2006/relationships/oleObject" Target="embeddings/oleObject21.bin"/><Relationship Id="rId57" Type="http://schemas.openxmlformats.org/officeDocument/2006/relationships/image" Target="media/image27.wmf"/><Relationship Id="rId56" Type="http://schemas.openxmlformats.org/officeDocument/2006/relationships/oleObject" Target="embeddings/oleObject20.bin"/><Relationship Id="rId55" Type="http://schemas.openxmlformats.org/officeDocument/2006/relationships/image" Target="media/image26.emf"/><Relationship Id="rId54" Type="http://schemas.openxmlformats.org/officeDocument/2006/relationships/image" Target="media/image25.wmf"/><Relationship Id="rId53" Type="http://schemas.openxmlformats.org/officeDocument/2006/relationships/oleObject" Target="embeddings/oleObject19.bin"/><Relationship Id="rId52" Type="http://schemas.openxmlformats.org/officeDocument/2006/relationships/image" Target="media/image24.wmf"/><Relationship Id="rId51" Type="http://schemas.openxmlformats.org/officeDocument/2006/relationships/oleObject" Target="embeddings/oleObject18.bin"/><Relationship Id="rId50" Type="http://schemas.openxmlformats.org/officeDocument/2006/relationships/image" Target="media/image23.wmf"/><Relationship Id="rId5" Type="http://schemas.openxmlformats.org/officeDocument/2006/relationships/footer" Target="footer1.xml"/><Relationship Id="rId49" Type="http://schemas.openxmlformats.org/officeDocument/2006/relationships/oleObject" Target="embeddings/oleObject17.bin"/><Relationship Id="rId48" Type="http://schemas.openxmlformats.org/officeDocument/2006/relationships/image" Target="media/image22.wmf"/><Relationship Id="rId47" Type="http://schemas.openxmlformats.org/officeDocument/2006/relationships/oleObject" Target="embeddings/oleObject16.bin"/><Relationship Id="rId46" Type="http://schemas.openxmlformats.org/officeDocument/2006/relationships/image" Target="media/image21.wmf"/><Relationship Id="rId45" Type="http://schemas.openxmlformats.org/officeDocument/2006/relationships/oleObject" Target="embeddings/oleObject15.bin"/><Relationship Id="rId44" Type="http://schemas.openxmlformats.org/officeDocument/2006/relationships/image" Target="media/image20.wmf"/><Relationship Id="rId43" Type="http://schemas.openxmlformats.org/officeDocument/2006/relationships/oleObject" Target="embeddings/oleObject14.bin"/><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wmf"/><Relationship Id="rId4" Type="http://schemas.openxmlformats.org/officeDocument/2006/relationships/header" Target="header2.xml"/><Relationship Id="rId39" Type="http://schemas.openxmlformats.org/officeDocument/2006/relationships/oleObject" Target="embeddings/oleObject13.bin"/><Relationship Id="rId38" Type="http://schemas.openxmlformats.org/officeDocument/2006/relationships/image" Target="media/image16.wmf"/><Relationship Id="rId37" Type="http://schemas.openxmlformats.org/officeDocument/2006/relationships/oleObject" Target="embeddings/oleObject12.bin"/><Relationship Id="rId36" Type="http://schemas.openxmlformats.org/officeDocument/2006/relationships/image" Target="media/image15.wmf"/><Relationship Id="rId35" Type="http://schemas.openxmlformats.org/officeDocument/2006/relationships/oleObject" Target="embeddings/oleObject11.bin"/><Relationship Id="rId34" Type="http://schemas.openxmlformats.org/officeDocument/2006/relationships/image" Target="media/image14.wmf"/><Relationship Id="rId33" Type="http://schemas.openxmlformats.org/officeDocument/2006/relationships/oleObject" Target="embeddings/oleObject10.bin"/><Relationship Id="rId32" Type="http://schemas.openxmlformats.org/officeDocument/2006/relationships/image" Target="media/image13.png"/><Relationship Id="rId31" Type="http://schemas.openxmlformats.org/officeDocument/2006/relationships/image" Target="media/image12.wmf"/><Relationship Id="rId30" Type="http://schemas.openxmlformats.org/officeDocument/2006/relationships/oleObject" Target="embeddings/oleObject9.bin"/><Relationship Id="rId3" Type="http://schemas.openxmlformats.org/officeDocument/2006/relationships/header" Target="header1.xml"/><Relationship Id="rId295" Type="http://schemas.openxmlformats.org/officeDocument/2006/relationships/fontTable" Target="fontTable.xml"/><Relationship Id="rId294" Type="http://schemas.openxmlformats.org/officeDocument/2006/relationships/customXml" Target="../customXml/item2.xml"/><Relationship Id="rId293" Type="http://schemas.openxmlformats.org/officeDocument/2006/relationships/numbering" Target="numbering.xml"/><Relationship Id="rId292" Type="http://schemas.openxmlformats.org/officeDocument/2006/relationships/customXml" Target="../customXml/item1.xml"/><Relationship Id="rId291" Type="http://schemas.openxmlformats.org/officeDocument/2006/relationships/image" Target="media/image167.jpeg"/><Relationship Id="rId290" Type="http://schemas.openxmlformats.org/officeDocument/2006/relationships/image" Target="media/image166.jpeg"/><Relationship Id="rId29" Type="http://schemas.openxmlformats.org/officeDocument/2006/relationships/image" Target="media/image11.wmf"/><Relationship Id="rId289" Type="http://schemas.openxmlformats.org/officeDocument/2006/relationships/image" Target="media/image165.png"/><Relationship Id="rId288" Type="http://schemas.openxmlformats.org/officeDocument/2006/relationships/image" Target="media/image164.png"/><Relationship Id="rId287" Type="http://schemas.openxmlformats.org/officeDocument/2006/relationships/image" Target="media/image163.png"/><Relationship Id="rId286" Type="http://schemas.openxmlformats.org/officeDocument/2006/relationships/image" Target="media/image162.png"/><Relationship Id="rId285" Type="http://schemas.openxmlformats.org/officeDocument/2006/relationships/image" Target="media/image161.png"/><Relationship Id="rId284" Type="http://schemas.openxmlformats.org/officeDocument/2006/relationships/image" Target="media/image160.png"/><Relationship Id="rId283" Type="http://schemas.openxmlformats.org/officeDocument/2006/relationships/image" Target="media/image159.png"/><Relationship Id="rId282" Type="http://schemas.openxmlformats.org/officeDocument/2006/relationships/image" Target="media/image158.png"/><Relationship Id="rId281" Type="http://schemas.openxmlformats.org/officeDocument/2006/relationships/image" Target="media/image157.png"/><Relationship Id="rId280" Type="http://schemas.openxmlformats.org/officeDocument/2006/relationships/image" Target="media/image156.png"/><Relationship Id="rId28" Type="http://schemas.openxmlformats.org/officeDocument/2006/relationships/oleObject" Target="embeddings/oleObject8.bin"/><Relationship Id="rId279" Type="http://schemas.openxmlformats.org/officeDocument/2006/relationships/image" Target="media/image155.wmf"/><Relationship Id="rId278" Type="http://schemas.openxmlformats.org/officeDocument/2006/relationships/oleObject" Target="embeddings/oleObject114.bin"/><Relationship Id="rId277" Type="http://schemas.openxmlformats.org/officeDocument/2006/relationships/image" Target="media/image154.wmf"/><Relationship Id="rId276" Type="http://schemas.openxmlformats.org/officeDocument/2006/relationships/oleObject" Target="embeddings/oleObject113.bin"/><Relationship Id="rId275" Type="http://schemas.openxmlformats.org/officeDocument/2006/relationships/image" Target="media/image153.wmf"/><Relationship Id="rId274" Type="http://schemas.openxmlformats.org/officeDocument/2006/relationships/oleObject" Target="embeddings/oleObject112.bin"/><Relationship Id="rId273" Type="http://schemas.openxmlformats.org/officeDocument/2006/relationships/image" Target="media/image152.wmf"/><Relationship Id="rId272" Type="http://schemas.openxmlformats.org/officeDocument/2006/relationships/oleObject" Target="embeddings/oleObject111.bin"/><Relationship Id="rId271" Type="http://schemas.openxmlformats.org/officeDocument/2006/relationships/image" Target="media/image151.wmf"/><Relationship Id="rId270" Type="http://schemas.openxmlformats.org/officeDocument/2006/relationships/oleObject" Target="embeddings/oleObject110.bin"/><Relationship Id="rId27" Type="http://schemas.openxmlformats.org/officeDocument/2006/relationships/image" Target="media/image10.wmf"/><Relationship Id="rId269" Type="http://schemas.openxmlformats.org/officeDocument/2006/relationships/image" Target="media/image150.wmf"/><Relationship Id="rId268" Type="http://schemas.openxmlformats.org/officeDocument/2006/relationships/oleObject" Target="embeddings/oleObject109.bin"/><Relationship Id="rId267" Type="http://schemas.openxmlformats.org/officeDocument/2006/relationships/image" Target="media/image149.wmf"/><Relationship Id="rId266" Type="http://schemas.openxmlformats.org/officeDocument/2006/relationships/oleObject" Target="embeddings/oleObject108.bin"/><Relationship Id="rId265" Type="http://schemas.openxmlformats.org/officeDocument/2006/relationships/image" Target="media/image148.wmf"/><Relationship Id="rId264" Type="http://schemas.openxmlformats.org/officeDocument/2006/relationships/oleObject" Target="embeddings/oleObject107.bin"/><Relationship Id="rId263" Type="http://schemas.openxmlformats.org/officeDocument/2006/relationships/image" Target="media/image147.wmf"/><Relationship Id="rId262" Type="http://schemas.openxmlformats.org/officeDocument/2006/relationships/image" Target="media/image146.wmf"/><Relationship Id="rId261" Type="http://schemas.openxmlformats.org/officeDocument/2006/relationships/image" Target="media/image145.jpeg"/><Relationship Id="rId260" Type="http://schemas.openxmlformats.org/officeDocument/2006/relationships/image" Target="media/image144.wmf"/><Relationship Id="rId26" Type="http://schemas.openxmlformats.org/officeDocument/2006/relationships/oleObject" Target="embeddings/oleObject7.bin"/><Relationship Id="rId259" Type="http://schemas.openxmlformats.org/officeDocument/2006/relationships/oleObject" Target="embeddings/oleObject106.bin"/><Relationship Id="rId258" Type="http://schemas.openxmlformats.org/officeDocument/2006/relationships/oleObject" Target="embeddings/oleObject105.bin"/><Relationship Id="rId257" Type="http://schemas.openxmlformats.org/officeDocument/2006/relationships/image" Target="media/image143.wmf"/><Relationship Id="rId256" Type="http://schemas.openxmlformats.org/officeDocument/2006/relationships/oleObject" Target="embeddings/oleObject104.bin"/><Relationship Id="rId255" Type="http://schemas.openxmlformats.org/officeDocument/2006/relationships/image" Target="media/image142.wmf"/><Relationship Id="rId254" Type="http://schemas.openxmlformats.org/officeDocument/2006/relationships/oleObject" Target="embeddings/oleObject103.bin"/><Relationship Id="rId253" Type="http://schemas.openxmlformats.org/officeDocument/2006/relationships/image" Target="media/image141.wmf"/><Relationship Id="rId252" Type="http://schemas.openxmlformats.org/officeDocument/2006/relationships/oleObject" Target="embeddings/oleObject102.bin"/><Relationship Id="rId251" Type="http://schemas.openxmlformats.org/officeDocument/2006/relationships/image" Target="media/image140.wmf"/><Relationship Id="rId250" Type="http://schemas.openxmlformats.org/officeDocument/2006/relationships/oleObject" Target="embeddings/oleObject101.bin"/><Relationship Id="rId25" Type="http://schemas.openxmlformats.org/officeDocument/2006/relationships/image" Target="media/image9.wmf"/><Relationship Id="rId249" Type="http://schemas.openxmlformats.org/officeDocument/2006/relationships/image" Target="media/image139.wmf"/><Relationship Id="rId248" Type="http://schemas.openxmlformats.org/officeDocument/2006/relationships/oleObject" Target="embeddings/oleObject100.bin"/><Relationship Id="rId247" Type="http://schemas.openxmlformats.org/officeDocument/2006/relationships/image" Target="media/image138.wmf"/><Relationship Id="rId246" Type="http://schemas.openxmlformats.org/officeDocument/2006/relationships/oleObject" Target="embeddings/oleObject99.bin"/><Relationship Id="rId245" Type="http://schemas.openxmlformats.org/officeDocument/2006/relationships/image" Target="media/image137.wmf"/><Relationship Id="rId244" Type="http://schemas.openxmlformats.org/officeDocument/2006/relationships/oleObject" Target="embeddings/oleObject98.bin"/><Relationship Id="rId243" Type="http://schemas.openxmlformats.org/officeDocument/2006/relationships/image" Target="media/image136.wmf"/><Relationship Id="rId242" Type="http://schemas.openxmlformats.org/officeDocument/2006/relationships/oleObject" Target="embeddings/oleObject97.bin"/><Relationship Id="rId241" Type="http://schemas.openxmlformats.org/officeDocument/2006/relationships/image" Target="media/image135.wmf"/><Relationship Id="rId240" Type="http://schemas.openxmlformats.org/officeDocument/2006/relationships/oleObject" Target="embeddings/oleObject96.bin"/><Relationship Id="rId24" Type="http://schemas.openxmlformats.org/officeDocument/2006/relationships/oleObject" Target="embeddings/oleObject6.bin"/><Relationship Id="rId239" Type="http://schemas.openxmlformats.org/officeDocument/2006/relationships/image" Target="media/image134.wmf"/><Relationship Id="rId238" Type="http://schemas.openxmlformats.org/officeDocument/2006/relationships/oleObject" Target="embeddings/oleObject95.bin"/><Relationship Id="rId237" Type="http://schemas.openxmlformats.org/officeDocument/2006/relationships/image" Target="media/image133.wmf"/><Relationship Id="rId236" Type="http://schemas.openxmlformats.org/officeDocument/2006/relationships/oleObject" Target="embeddings/oleObject94.bin"/><Relationship Id="rId235" Type="http://schemas.openxmlformats.org/officeDocument/2006/relationships/image" Target="media/image132.wmf"/><Relationship Id="rId234" Type="http://schemas.openxmlformats.org/officeDocument/2006/relationships/oleObject" Target="embeddings/oleObject93.bin"/><Relationship Id="rId233" Type="http://schemas.openxmlformats.org/officeDocument/2006/relationships/image" Target="media/image131.wmf"/><Relationship Id="rId232" Type="http://schemas.openxmlformats.org/officeDocument/2006/relationships/image" Target="media/image130.wmf"/><Relationship Id="rId231" Type="http://schemas.openxmlformats.org/officeDocument/2006/relationships/oleObject" Target="embeddings/oleObject92.bin"/><Relationship Id="rId230" Type="http://schemas.openxmlformats.org/officeDocument/2006/relationships/image" Target="media/image129.wmf"/><Relationship Id="rId23" Type="http://schemas.openxmlformats.org/officeDocument/2006/relationships/image" Target="media/image8.wmf"/><Relationship Id="rId229" Type="http://schemas.openxmlformats.org/officeDocument/2006/relationships/image" Target="media/image128.wmf"/><Relationship Id="rId228" Type="http://schemas.openxmlformats.org/officeDocument/2006/relationships/oleObject" Target="embeddings/oleObject91.bin"/><Relationship Id="rId227" Type="http://schemas.openxmlformats.org/officeDocument/2006/relationships/image" Target="media/image127.wmf"/><Relationship Id="rId226" Type="http://schemas.openxmlformats.org/officeDocument/2006/relationships/oleObject" Target="embeddings/oleObject90.bin"/><Relationship Id="rId225" Type="http://schemas.openxmlformats.org/officeDocument/2006/relationships/image" Target="media/image126.wmf"/><Relationship Id="rId224" Type="http://schemas.openxmlformats.org/officeDocument/2006/relationships/oleObject" Target="embeddings/oleObject89.bin"/><Relationship Id="rId223" Type="http://schemas.openxmlformats.org/officeDocument/2006/relationships/image" Target="media/image125.wmf"/><Relationship Id="rId222" Type="http://schemas.openxmlformats.org/officeDocument/2006/relationships/oleObject" Target="embeddings/oleObject88.bin"/><Relationship Id="rId221" Type="http://schemas.openxmlformats.org/officeDocument/2006/relationships/image" Target="media/image124.wmf"/><Relationship Id="rId220" Type="http://schemas.openxmlformats.org/officeDocument/2006/relationships/oleObject" Target="embeddings/oleObject87.bin"/><Relationship Id="rId22" Type="http://schemas.openxmlformats.org/officeDocument/2006/relationships/oleObject" Target="embeddings/oleObject5.bin"/><Relationship Id="rId219" Type="http://schemas.openxmlformats.org/officeDocument/2006/relationships/image" Target="media/image123.wmf"/><Relationship Id="rId218" Type="http://schemas.openxmlformats.org/officeDocument/2006/relationships/image" Target="media/image122.wmf"/><Relationship Id="rId217" Type="http://schemas.openxmlformats.org/officeDocument/2006/relationships/oleObject" Target="embeddings/oleObject86.bin"/><Relationship Id="rId216" Type="http://schemas.openxmlformats.org/officeDocument/2006/relationships/image" Target="media/image121.wmf"/><Relationship Id="rId215" Type="http://schemas.openxmlformats.org/officeDocument/2006/relationships/oleObject" Target="embeddings/oleObject85.bin"/><Relationship Id="rId214" Type="http://schemas.openxmlformats.org/officeDocument/2006/relationships/image" Target="media/image120.wmf"/><Relationship Id="rId213" Type="http://schemas.openxmlformats.org/officeDocument/2006/relationships/oleObject" Target="embeddings/oleObject84.bin"/><Relationship Id="rId212" Type="http://schemas.openxmlformats.org/officeDocument/2006/relationships/image" Target="media/image119.wmf"/><Relationship Id="rId211" Type="http://schemas.openxmlformats.org/officeDocument/2006/relationships/oleObject" Target="embeddings/oleObject83.bin"/><Relationship Id="rId210" Type="http://schemas.openxmlformats.org/officeDocument/2006/relationships/image" Target="media/image118.wmf"/><Relationship Id="rId21" Type="http://schemas.openxmlformats.org/officeDocument/2006/relationships/image" Target="media/image7.wmf"/><Relationship Id="rId209" Type="http://schemas.openxmlformats.org/officeDocument/2006/relationships/oleObject" Target="embeddings/oleObject82.bin"/><Relationship Id="rId208" Type="http://schemas.openxmlformats.org/officeDocument/2006/relationships/image" Target="media/image117.wmf"/><Relationship Id="rId207" Type="http://schemas.openxmlformats.org/officeDocument/2006/relationships/oleObject" Target="embeddings/oleObject81.bin"/><Relationship Id="rId206" Type="http://schemas.openxmlformats.org/officeDocument/2006/relationships/image" Target="media/image116.wmf"/><Relationship Id="rId205" Type="http://schemas.openxmlformats.org/officeDocument/2006/relationships/oleObject" Target="embeddings/oleObject80.bin"/><Relationship Id="rId204" Type="http://schemas.openxmlformats.org/officeDocument/2006/relationships/image" Target="media/image115.wmf"/><Relationship Id="rId203" Type="http://schemas.openxmlformats.org/officeDocument/2006/relationships/oleObject" Target="embeddings/oleObject79.bin"/><Relationship Id="rId202" Type="http://schemas.openxmlformats.org/officeDocument/2006/relationships/image" Target="media/image114.png"/><Relationship Id="rId201" Type="http://schemas.openxmlformats.org/officeDocument/2006/relationships/image" Target="media/image113.png"/><Relationship Id="rId200" Type="http://schemas.openxmlformats.org/officeDocument/2006/relationships/image" Target="media/image112.png"/><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image" Target="media/image111.wmf"/><Relationship Id="rId198" Type="http://schemas.openxmlformats.org/officeDocument/2006/relationships/oleObject" Target="embeddings/oleObject78.bin"/><Relationship Id="rId197" Type="http://schemas.openxmlformats.org/officeDocument/2006/relationships/image" Target="media/image110.wmf"/><Relationship Id="rId196" Type="http://schemas.openxmlformats.org/officeDocument/2006/relationships/oleObject" Target="embeddings/oleObject77.bin"/><Relationship Id="rId195" Type="http://schemas.openxmlformats.org/officeDocument/2006/relationships/image" Target="media/image109.wmf"/><Relationship Id="rId194" Type="http://schemas.openxmlformats.org/officeDocument/2006/relationships/oleObject" Target="embeddings/oleObject76.bin"/><Relationship Id="rId193" Type="http://schemas.openxmlformats.org/officeDocument/2006/relationships/image" Target="media/image108.wmf"/><Relationship Id="rId192" Type="http://schemas.openxmlformats.org/officeDocument/2006/relationships/oleObject" Target="embeddings/oleObject75.bin"/><Relationship Id="rId191" Type="http://schemas.openxmlformats.org/officeDocument/2006/relationships/image" Target="media/image107.wmf"/><Relationship Id="rId190" Type="http://schemas.openxmlformats.org/officeDocument/2006/relationships/oleObject" Target="embeddings/oleObject74.bin"/><Relationship Id="rId19" Type="http://schemas.openxmlformats.org/officeDocument/2006/relationships/image" Target="media/image6.wmf"/><Relationship Id="rId189" Type="http://schemas.openxmlformats.org/officeDocument/2006/relationships/image" Target="media/image106.wmf"/><Relationship Id="rId188" Type="http://schemas.openxmlformats.org/officeDocument/2006/relationships/oleObject" Target="embeddings/oleObject73.bin"/><Relationship Id="rId187" Type="http://schemas.openxmlformats.org/officeDocument/2006/relationships/image" Target="media/image105.wmf"/><Relationship Id="rId186" Type="http://schemas.openxmlformats.org/officeDocument/2006/relationships/oleObject" Target="embeddings/oleObject72.bin"/><Relationship Id="rId185" Type="http://schemas.openxmlformats.org/officeDocument/2006/relationships/image" Target="media/image104.wmf"/><Relationship Id="rId184" Type="http://schemas.openxmlformats.org/officeDocument/2006/relationships/oleObject" Target="embeddings/oleObject71.bin"/><Relationship Id="rId183" Type="http://schemas.openxmlformats.org/officeDocument/2006/relationships/image" Target="media/image103.wmf"/><Relationship Id="rId182" Type="http://schemas.openxmlformats.org/officeDocument/2006/relationships/oleObject" Target="embeddings/oleObject70.bin"/><Relationship Id="rId181" Type="http://schemas.openxmlformats.org/officeDocument/2006/relationships/image" Target="media/image102.wmf"/><Relationship Id="rId180" Type="http://schemas.openxmlformats.org/officeDocument/2006/relationships/image" Target="media/image101.wmf"/><Relationship Id="rId18" Type="http://schemas.openxmlformats.org/officeDocument/2006/relationships/oleObject" Target="embeddings/oleObject3.bin"/><Relationship Id="rId179" Type="http://schemas.openxmlformats.org/officeDocument/2006/relationships/oleObject" Target="embeddings/oleObject69.bin"/><Relationship Id="rId178" Type="http://schemas.openxmlformats.org/officeDocument/2006/relationships/image" Target="media/image100.wmf"/><Relationship Id="rId177" Type="http://schemas.openxmlformats.org/officeDocument/2006/relationships/oleObject" Target="embeddings/oleObject68.bin"/><Relationship Id="rId176" Type="http://schemas.openxmlformats.org/officeDocument/2006/relationships/image" Target="media/image99.png"/><Relationship Id="rId175" Type="http://schemas.openxmlformats.org/officeDocument/2006/relationships/image" Target="media/image98.wmf"/><Relationship Id="rId174" Type="http://schemas.openxmlformats.org/officeDocument/2006/relationships/oleObject" Target="embeddings/oleObject67.bin"/><Relationship Id="rId173" Type="http://schemas.openxmlformats.org/officeDocument/2006/relationships/image" Target="media/image97.wmf"/><Relationship Id="rId172" Type="http://schemas.openxmlformats.org/officeDocument/2006/relationships/oleObject" Target="embeddings/oleObject66.bin"/><Relationship Id="rId171" Type="http://schemas.openxmlformats.org/officeDocument/2006/relationships/image" Target="media/image96.wmf"/><Relationship Id="rId170" Type="http://schemas.openxmlformats.org/officeDocument/2006/relationships/oleObject" Target="embeddings/oleObject65.bin"/><Relationship Id="rId17" Type="http://schemas.openxmlformats.org/officeDocument/2006/relationships/image" Target="media/image5.wmf"/><Relationship Id="rId169" Type="http://schemas.openxmlformats.org/officeDocument/2006/relationships/image" Target="media/image95.wmf"/><Relationship Id="rId168" Type="http://schemas.openxmlformats.org/officeDocument/2006/relationships/oleObject" Target="embeddings/oleObject64.bin"/><Relationship Id="rId167" Type="http://schemas.openxmlformats.org/officeDocument/2006/relationships/image" Target="media/image94.wmf"/><Relationship Id="rId166" Type="http://schemas.openxmlformats.org/officeDocument/2006/relationships/oleObject" Target="embeddings/oleObject63.bin"/><Relationship Id="rId165" Type="http://schemas.openxmlformats.org/officeDocument/2006/relationships/image" Target="media/image93.wmf"/><Relationship Id="rId164" Type="http://schemas.openxmlformats.org/officeDocument/2006/relationships/oleObject" Target="embeddings/oleObject62.bin"/><Relationship Id="rId163" Type="http://schemas.openxmlformats.org/officeDocument/2006/relationships/image" Target="media/image92.wmf"/><Relationship Id="rId162" Type="http://schemas.openxmlformats.org/officeDocument/2006/relationships/oleObject" Target="embeddings/oleObject61.bin"/><Relationship Id="rId161" Type="http://schemas.openxmlformats.org/officeDocument/2006/relationships/image" Target="media/image91.png"/><Relationship Id="rId160" Type="http://schemas.openxmlformats.org/officeDocument/2006/relationships/image" Target="media/image90.png"/><Relationship Id="rId16" Type="http://schemas.openxmlformats.org/officeDocument/2006/relationships/oleObject" Target="embeddings/oleObject2.bin"/><Relationship Id="rId159" Type="http://schemas.openxmlformats.org/officeDocument/2006/relationships/image" Target="media/image89.wmf"/><Relationship Id="rId158" Type="http://schemas.openxmlformats.org/officeDocument/2006/relationships/oleObject" Target="embeddings/oleObject60.bin"/><Relationship Id="rId157" Type="http://schemas.openxmlformats.org/officeDocument/2006/relationships/image" Target="media/image88.png"/><Relationship Id="rId156" Type="http://schemas.openxmlformats.org/officeDocument/2006/relationships/image" Target="media/image87.wmf"/><Relationship Id="rId155" Type="http://schemas.openxmlformats.org/officeDocument/2006/relationships/oleObject" Target="embeddings/oleObject59.bin"/><Relationship Id="rId154" Type="http://schemas.openxmlformats.org/officeDocument/2006/relationships/image" Target="media/image86.wmf"/><Relationship Id="rId153" Type="http://schemas.openxmlformats.org/officeDocument/2006/relationships/oleObject" Target="embeddings/oleObject58.bin"/><Relationship Id="rId152" Type="http://schemas.openxmlformats.org/officeDocument/2006/relationships/image" Target="media/image85.wmf"/><Relationship Id="rId151" Type="http://schemas.openxmlformats.org/officeDocument/2006/relationships/oleObject" Target="embeddings/oleObject57.bin"/><Relationship Id="rId150" Type="http://schemas.openxmlformats.org/officeDocument/2006/relationships/image" Target="media/image84.wmf"/><Relationship Id="rId15" Type="http://schemas.openxmlformats.org/officeDocument/2006/relationships/image" Target="media/image4.wmf"/><Relationship Id="rId149" Type="http://schemas.openxmlformats.org/officeDocument/2006/relationships/oleObject" Target="embeddings/oleObject56.bin"/><Relationship Id="rId148" Type="http://schemas.openxmlformats.org/officeDocument/2006/relationships/image" Target="media/image83.png"/><Relationship Id="rId147" Type="http://schemas.openxmlformats.org/officeDocument/2006/relationships/image" Target="media/image82.wmf"/><Relationship Id="rId146" Type="http://schemas.openxmlformats.org/officeDocument/2006/relationships/oleObject" Target="embeddings/oleObject55.bin"/><Relationship Id="rId145" Type="http://schemas.openxmlformats.org/officeDocument/2006/relationships/image" Target="media/image81.wmf"/><Relationship Id="rId144" Type="http://schemas.openxmlformats.org/officeDocument/2006/relationships/oleObject" Target="embeddings/oleObject54.bin"/><Relationship Id="rId143" Type="http://schemas.openxmlformats.org/officeDocument/2006/relationships/image" Target="media/image80.wmf"/><Relationship Id="rId142" Type="http://schemas.openxmlformats.org/officeDocument/2006/relationships/oleObject" Target="embeddings/oleObject53.bin"/><Relationship Id="rId141" Type="http://schemas.openxmlformats.org/officeDocument/2006/relationships/image" Target="media/image79.png"/><Relationship Id="rId140" Type="http://schemas.openxmlformats.org/officeDocument/2006/relationships/image" Target="media/image78.wmf"/><Relationship Id="rId14" Type="http://schemas.openxmlformats.org/officeDocument/2006/relationships/oleObject" Target="embeddings/oleObject1.bin"/><Relationship Id="rId139" Type="http://schemas.openxmlformats.org/officeDocument/2006/relationships/oleObject" Target="embeddings/oleObject52.bin"/><Relationship Id="rId138" Type="http://schemas.openxmlformats.org/officeDocument/2006/relationships/image" Target="media/image77.wmf"/><Relationship Id="rId137" Type="http://schemas.openxmlformats.org/officeDocument/2006/relationships/oleObject" Target="embeddings/oleObject51.bin"/><Relationship Id="rId136" Type="http://schemas.openxmlformats.org/officeDocument/2006/relationships/image" Target="media/image76.png"/><Relationship Id="rId135" Type="http://schemas.openxmlformats.org/officeDocument/2006/relationships/image" Target="media/image75.emf"/><Relationship Id="rId134" Type="http://schemas.openxmlformats.org/officeDocument/2006/relationships/image" Target="media/image74.wmf"/><Relationship Id="rId133" Type="http://schemas.openxmlformats.org/officeDocument/2006/relationships/oleObject" Target="embeddings/oleObject50.bin"/><Relationship Id="rId132" Type="http://schemas.openxmlformats.org/officeDocument/2006/relationships/image" Target="media/image73.wmf"/><Relationship Id="rId131" Type="http://schemas.openxmlformats.org/officeDocument/2006/relationships/oleObject" Target="embeddings/oleObject49.bin"/><Relationship Id="rId130" Type="http://schemas.openxmlformats.org/officeDocument/2006/relationships/image" Target="media/image72.wmf"/><Relationship Id="rId13" Type="http://schemas.openxmlformats.org/officeDocument/2006/relationships/image" Target="media/image3.png"/><Relationship Id="rId129" Type="http://schemas.openxmlformats.org/officeDocument/2006/relationships/oleObject" Target="embeddings/oleObject48.bin"/><Relationship Id="rId128" Type="http://schemas.openxmlformats.org/officeDocument/2006/relationships/image" Target="media/image71.wmf"/><Relationship Id="rId127" Type="http://schemas.openxmlformats.org/officeDocument/2006/relationships/oleObject" Target="embeddings/oleObject47.bin"/><Relationship Id="rId126" Type="http://schemas.openxmlformats.org/officeDocument/2006/relationships/image" Target="media/image70.emf"/><Relationship Id="rId125" Type="http://schemas.openxmlformats.org/officeDocument/2006/relationships/image" Target="media/image69.wmf"/><Relationship Id="rId124" Type="http://schemas.openxmlformats.org/officeDocument/2006/relationships/oleObject" Target="embeddings/oleObject46.bin"/><Relationship Id="rId123" Type="http://schemas.openxmlformats.org/officeDocument/2006/relationships/image" Target="media/image68.emf"/><Relationship Id="rId122" Type="http://schemas.openxmlformats.org/officeDocument/2006/relationships/image" Target="media/image67.emf"/><Relationship Id="rId121" Type="http://schemas.openxmlformats.org/officeDocument/2006/relationships/image" Target="media/image66.wmf"/><Relationship Id="rId120" Type="http://schemas.openxmlformats.org/officeDocument/2006/relationships/oleObject" Target="embeddings/oleObject45.bin"/><Relationship Id="rId12" Type="http://schemas.openxmlformats.org/officeDocument/2006/relationships/image" Target="media/image2.png"/><Relationship Id="rId119" Type="http://schemas.openxmlformats.org/officeDocument/2006/relationships/image" Target="media/image65.wmf"/><Relationship Id="rId118" Type="http://schemas.openxmlformats.org/officeDocument/2006/relationships/oleObject" Target="embeddings/oleObject44.bin"/><Relationship Id="rId117" Type="http://schemas.openxmlformats.org/officeDocument/2006/relationships/image" Target="media/image64.wmf"/><Relationship Id="rId116" Type="http://schemas.openxmlformats.org/officeDocument/2006/relationships/oleObject" Target="embeddings/oleObject43.bin"/><Relationship Id="rId115" Type="http://schemas.openxmlformats.org/officeDocument/2006/relationships/image" Target="media/image63.emf"/><Relationship Id="rId114" Type="http://schemas.openxmlformats.org/officeDocument/2006/relationships/image" Target="media/image62.png"/><Relationship Id="rId113" Type="http://schemas.openxmlformats.org/officeDocument/2006/relationships/image" Target="media/image61.wmf"/><Relationship Id="rId112" Type="http://schemas.openxmlformats.org/officeDocument/2006/relationships/oleObject" Target="embeddings/oleObject42.bin"/><Relationship Id="rId111" Type="http://schemas.openxmlformats.org/officeDocument/2006/relationships/image" Target="media/image60.png"/><Relationship Id="rId110" Type="http://schemas.openxmlformats.org/officeDocument/2006/relationships/image" Target="media/image59.png"/><Relationship Id="rId11" Type="http://schemas.openxmlformats.org/officeDocument/2006/relationships/image" Target="media/image1.png"/><Relationship Id="rId109" Type="http://schemas.openxmlformats.org/officeDocument/2006/relationships/image" Target="media/image58.wmf"/><Relationship Id="rId108" Type="http://schemas.openxmlformats.org/officeDocument/2006/relationships/oleObject" Target="embeddings/oleObject41.bin"/><Relationship Id="rId107" Type="http://schemas.openxmlformats.org/officeDocument/2006/relationships/image" Target="media/image57.png"/><Relationship Id="rId106" Type="http://schemas.openxmlformats.org/officeDocument/2006/relationships/image" Target="media/image56.wmf"/><Relationship Id="rId105" Type="http://schemas.openxmlformats.org/officeDocument/2006/relationships/oleObject" Target="embeddings/oleObject40.bin"/><Relationship Id="rId104" Type="http://schemas.openxmlformats.org/officeDocument/2006/relationships/image" Target="media/image55.wmf"/><Relationship Id="rId103" Type="http://schemas.openxmlformats.org/officeDocument/2006/relationships/oleObject" Target="embeddings/oleObject39.bin"/><Relationship Id="rId102" Type="http://schemas.openxmlformats.org/officeDocument/2006/relationships/image" Target="media/image54.wmf"/><Relationship Id="rId101" Type="http://schemas.openxmlformats.org/officeDocument/2006/relationships/oleObject" Target="embeddings/oleObject38.bin"/><Relationship Id="rId100" Type="http://schemas.openxmlformats.org/officeDocument/2006/relationships/image" Target="media/image53.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tmp\webword_4225839175\C:\Program%20Files\TDS2\tds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BC9B2C-523C-4BB4-8FDA-3F553AAB75D4}">
  <ds:schemaRefs/>
</ds:datastoreItem>
</file>

<file path=docProps/app.xml><?xml version="1.0" encoding="utf-8"?>
<Properties xmlns="http://schemas.openxmlformats.org/officeDocument/2006/extended-properties" xmlns:vt="http://schemas.openxmlformats.org/officeDocument/2006/docPropsVTypes">
  <Company>CNIS</Company>
  <Pages>93</Pages>
  <Words>15008</Words>
  <Characters>17308</Characters>
  <Lines>1</Lines>
  <Paragraphs>1</Paragraphs>
  <TotalTime>2</TotalTime>
  <ScaleCrop>false</ScaleCrop>
  <LinksUpToDate>false</LinksUpToDate>
  <CharactersWithSpaces>18193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2025-08-16T23:40:00Z</dcterms:created>
  <dc:creator>a</dc:creator>
  <cp:lastModifiedBy>陈文昕</cp:lastModifiedBy>
  <cp:lastPrinted>2022-05-13T23:12:00Z</cp:lastPrinted>
  <dcterms:modified xsi:type="dcterms:W3CDTF">2025-10-17T02:41:55Z</dcterms:modified>
  <dc:title>建筑石膏</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DS属性">
    <vt:lpwstr>TDS 2.0 Document</vt:lpwstr>
  </property>
  <property fmtid="{D5CDD505-2E9C-101B-9397-08002B2CF9AE}" pid="3" name="KSOProductBuildVer">
    <vt:lpwstr>2052-12.1.0.22529</vt:lpwstr>
  </property>
  <property fmtid="{D5CDD505-2E9C-101B-9397-08002B2CF9AE}" pid="4" name="ICV">
    <vt:lpwstr>CF5B99501AC74B08969ECE5FB8C7E3C0_13</vt:lpwstr>
  </property>
  <property fmtid="{D5CDD505-2E9C-101B-9397-08002B2CF9AE}" pid="5" name="KSOTemplateDocerSaveRecord">
    <vt:lpwstr>eyJoZGlkIjoiN2FlZGZlODdlZTZiODE1YjgxZmQ3YWZhYWVjY2M4ZDgiLCJ1c2VySWQiOiIzMjY1MjczMzIifQ==</vt:lpwstr>
  </property>
  <property fmtid="{D5CDD505-2E9C-101B-9397-08002B2CF9AE}" pid="6" name="MTWinEqns">
    <vt:bool>true</vt:bool>
  </property>
</Properties>
</file>